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уличила «Фарм-Про» в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2018, 12:07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использовала в упаковке товара цветовое оформление, изображение животного и созвучное название, сходные до степени смешения с гематогеном Фармстандарта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января 2018 г. Комиссия ФАС России признала действия ООО ПК «Фарм-Про» актом недобросовестной конкуренции, запрет на которую предусмотрен Законом о защите конкуренции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оформлении внешнего вида упаковки гематогена «Ferrum Гематоген», производимого и реализуемого ООО ПК «Фарм-Про», компания использовала элементы, схожие до степени смешения с оформлением упаковок гематогена «Феррогематоген», производимого и реализуемого АО «Фармстандарт». К ним относятся мультипликационное изображение животного, созвучное словесное обозначение («ферро», «ferrum») и цветовое оформление.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этот вопрос рассматривался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на совместном заседании 
        </w:t>
        </w:r>
      </w:hyperlink>
      <w:r>
        <w:t xml:space="preserve">Экспертного совета по применению законодательства о недобросовестной конкуренции и Экспертного совета по рекламе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Большинством голосов члены Экспертных советов сошлись во мнении, что наличие гематогенов в сходных упаковках производства АО «Фармстандарт» и ООО ПК «Фарм-про» на рынке может привести к смешению продукции в глазах потребителя. Они также признали наличие в действиях ООО ПК «Фарм-про» признаков нарушения Закона о защите конкуренции</w:t>
      </w:r>
      <w:r>
        <w:t xml:space="preserve">2</w:t>
      </w:r>
      <w:r>
        <w:t xml:space="preserve">, выразившихся во введении в гражданский оборот гематогена под обозначением «Ferrum Гематоген» в упаковках, схожих по оформлению с упаковками продукции производства АО «Фармстандарт».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наличие отдельных малозначительных отличий, совокупность элементов дизайна упаковки «Ferrum Гематоген» привело к смешению этого товара с гематогеном компании «Фармстандарт», что, вероятно, было сделано намеренно»,</w:t>
      </w:r>
      <w:r>
        <w:t xml:space="preserve"> –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2 статьи 14.6 Закона о защите конкуренции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статьи 14.6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пункта 2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13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