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ФГУП «Космическая связь» исполнено предписание 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2018, 12:51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очередном деле о нарушении антимонопольного законодательства поставлена точка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ФГУП «Космическая связь» в полном объеме исполнило предписание ФАС России, выданное по результатам рассмотрения дела о нарушении антимонопольного законодательства. Ранее сообщалось, что предприятие оплатило штраф за нарушение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ФГУП «Космическая связь» подготовило и направило необходимые документы и материалы на установление тарифов на регулируемые услуги общедоступной электросвязи. При подготовке документов для утверждения тарифов ФГУП «Космическая связь», совместно со специалистами антимонопольного органа, систематизировало порядок раздельного учета доходов и расходов по осуществляемым видам деятельности, о невозможности осуществления которого предприятие неоднократно сообщало в вышестоящие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ФАС России утверждены предельные уровни тарифов на услугу ФГУП «Космическая связь» по доставке сигналов общероссийских обязательных общедоступных телеканалов и радиоканалов до радиоэлектронных средств, предназначенных для передачи сигнала в эфир. В настоящее время организация выставляет счета по действующим договорам с ФГУП «РТРС» по утвержденным ФАС России тарифам.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приведения в соответствие наименования оказываемых услуг, в дополнительных соглашениях к действующим договорам с ФГУП «РТРС» ФГУП «Космическая связь» скорректировала наименование предоставляемой услуги в соответствии с формулировками, установленными приказом ФАС России. На предприятии, в том числе, введен в действие каталог предоставляемых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«Предоставление услуг связи субъектами естественных монополий в отсутствие обоснованных и утверждённых тарифов создает риски завышения стоимости услуг теле- и радиовещания. Проведенная ФАС России работа вернула значительный сегмент рынка услуг связи в правовое русло»</w:t>
      </w:r>
      <w:r>
        <w:t xml:space="preserve">, – отметил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«Совместная деятельность антимонопольного органа и операторов связи, направленная на соблюдение действующего антимонопольного законодательства, позволила получить положительный экономический эффект как хозяйствующими субъектами, так и пользователями данных услуг связи. Иначе говоря, имеет место соблюдение интересов не только государства, но и потребителей услуг связи»</w:t>
      </w:r>
      <w:r>
        <w:t xml:space="preserve">, – пояснил начальник Управлении контроля авиационной, ракетной-космической и атомной промышленности ФАС России Дмитрий Брыкин.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