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Новой вехой развития электроэнергетики станет внедрение эталонного принципа для электросетевого комплекса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2018, 14:13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планирует применять этот механизм с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 утвердил приоритет развития конкурентных отношений во всех сферах. Безусловно, электроэнергетика, как инфраструктурная отрасль, также должна быть включена в эту работу»,</w:t>
      </w:r>
      <w:r>
        <w:t xml:space="preserve"> - начал свое выступление заместитель руководителя ФАС России Виталий Королев на Российском инвестиционном форуме в г. Сочи.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совместно с Минэнерго мы разрабатываем «дорожную карту», где будут определенны ключевые показатели развития конкуренции в электроэнергетике. Такой документ должен быть утвержден до 1 июля 2018 года»</w:t>
      </w:r>
      <w:r>
        <w:t xml:space="preserve">, - сообщил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проблемах, Виталий Королев подробно остановился на двух – тарифная дискриминация и превышение предельного уровня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 согласования с ФАС в прошлом году уровень тарифов превысили в 15 регионах страны. И это привело к существенному росту цен на электроэнергию. Так, например предельные уровни превышены на 34% в Нижегородской области и на 14% в Республике Башкортостан,- </w:t>
      </w:r>
      <w:r>
        <w:t xml:space="preserve">указал замглавы ФАС.</w:t>
      </w:r>
      <w:r>
        <w:rPr>
          <w:i/>
        </w:rPr>
        <w:t xml:space="preserve"> – Для предотвращения такого повышения антимонопольная служба разработала поправки в Закон об электроэнергетике, который запретит превышать установленный уровень тарифов без согласования с ФАС».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также обозначил основные планы ведомства на ближайшую перспективу.</w:t>
      </w:r>
      <w:r>
        <w:rPr>
          <w:i/>
        </w:rPr>
        <w:t xml:space="preserve"> «С 2019 года мы планируем внедрить эталоны затрат для электросетевых организаций. Применение этого механизма позволит добиться прозрачного и ясного порядка ценообразования, что удобно всем участникам процесса: от регулируемых организаций до потребителя. По нашему мнению, переход на новый принцип стимулирует организации к реальной экономии средств и повышению эффективности. Это станет новой вехой развития отрасли»,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«Еще одним значимым моментом является регуляторный контракт. В перспективе приоритетным методом регулирования инфраструктурных компаний должно быть долгосрочное регулирование на основе регуляторного соглашения. Если же регуляторное соглашение не заключено, то тарифы организации должны определяться через эталоны затрат»</w:t>
      </w:r>
      <w:r>
        <w:t xml:space="preserve">, - заключил Виталий Королев.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