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провело семинар-совещание территориальных органов ФАС России по ЦФО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2018, 12:09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 20 марта в г. Москве состоялся региональный семинар-совещание территориальных органов ФАС России Центрального федерального округа. Организатором семинара-совещания выступило Московское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семинара обратился заместитель руководителя ФАС России Алексей Доценко, отметив значимость возложенной на Федеральную антимонопольную службу задачи по координации и реализации Национального плана развития конкуренции в Российской Федерации, утвержденного Указом Президента России № 618 от 21 декабря 2017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Московского УФАС России Армен Ханян отметил, что такие мероприятия помогают вырабатывать единую правоприменительную практику и общие подходы в решении задач, которые поставлены перед антимонопольными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семинара включала в себя широкий спектр вопросов антимонопольного регулирования. С докладом о реализации Национального плана развития конкуренции в Российской Федерации выступил заместитель начальника Правового управления ФАС России Алексей Крюков. Об изменениях действующего законодательства Российской Федерации о контрактной системе, а также законодательства Российской Федерации о закупках товаров, работ, услуг отдельными видами юридических лиц, а также о проблемных вопросах в практике их применения сообщил заместитель начальника Управления контроля размещения государственного заказа ФАС России Роман Семёнов.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внимание участники семинара уделили Стандарту развития конкуренции, о практике и проблемах внедрения которого рассказали начальник Контрольно-финансового управления ФАС России Владимир Мишеловин, заместитель начальника Контрольно-финансового управления ФАС России Елена Рыбаченко, советник отдела реализации административной реформы Контрольно-финансового управления ФАС России Ирина Золотухина.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докладами о проблемах, возникающих при рассмотрении обращений о включении сведений в реестр недобросовестных поставщиков (подрядчиков, исполнителей), а также о вопросах применения института предупреждения выступили руководители территориальных органов ФАС России Центрального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семинара выразили заинтересованность в дальнейшем обмене практиками соблюдения антимонопольного законодательства по всем представленным вопросам.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