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разработает поправки в статью 14.41 КоАП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2018, 19:17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Поправки уточнят ответственность за нарушение ст. 9 Закона о торговле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«Сегодня согласно Закону о торговле ритейлер обязан размещать в сети «Интернет» информацию об условиях отбора контрагента для заключения договора поставки. Эти данные должны быть доступны для потенциальных поставщиков. Однако не все торговые сети соблюдают эту норму, тем более, что в КоАП не предусмотрено ответственности за ее нарушение. В ближайшее время мы приступим к разработке поправок в статью 14.41 КоАП, предусматривающих ответственность за неразмещение этой информации в сети «Интерне</w:t>
      </w:r>
      <w:r>
        <w:t xml:space="preserve">т», - сообщил заместитель руководителя ФАС России Андрей Кашеваров в рамках сессии «Итоги прошлого года и тренды на рынке ритейла» конференции «Ритейл в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прокомментировал законопроект Минпроторга России, предполагающий увеличение доли торговой сети на рынке с 25 до 35% при строительстве новых магазинов и аренде непрофильных помещений.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На сегодняшний день участники рынка придерживаются противоположных взглядов. Безусловно, торговые сети поддерживают возможность увеличение доли, поставщики, напротив, настаивают на ее снижении до 10%. Таким образом, нам следует продолжить диалог для поиска оптимального решения</w:t>
      </w:r>
      <w:r>
        <w:t xml:space="preserve">», - сообщил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 обратил внимание на основные проблемы во взаимодействии поставщиков продовольственных товаров и торговых сетей, привел статистику проверок договоров поставки между ритейлерами и поставщиками на соответствие требованиям Закона о торговле по итогам 2017 года, а также дал разъяснения по некоторым вопросам применения отраслевого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рамках анализа имплементации поправок в 2017 году было проведено 936 проверок торговых сетей, проанализировано свыше 11 тысяч договоров. Факты, содержащие признаки нарушений, были выявлены в 73 регионах Российской Федерации, в почти 3 тысячах договорах. Было возбуждено 160 дел о нарушении торговыми сетями антимонопольного законодательства, 279 дел об административных правонарушениях, по итогам рассмотрения которых наложено штрафов на сумму свыше 29 млн рублей</w:t>
      </w:r>
      <w:r>
        <w:t xml:space="preserve">», - уточнил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