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Модель «единого информационного окна» реализована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разработает и утвердит в ближайшее время единые формы раскрытия информации через централизованную систему ФГИС ЕИАС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отмечает, что до настоящего времени отсутствовал единый подход по размещению информации регулируемыми компаниями и механизмы её раскрытия были труднореализуемыми на практике. Некоторые компании публиковали сведения о своей деятельности на собственных сайтах, другие организации раскрывали информацию исключительно на сайтах органов регулирования, а в некоторых случаях вообще не обнародовали.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марта 2018 года Правительство Российской Федерации утвердило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новые подходы к стандартам раскрытия информации в сфере ЖКХ, которые предусматривают, что посредством одной системы будет установлено единообразие механизмов раскрытия информации регулируемыми организациями.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Этой системой станет ФГИС ЕИАС ФАС России. На протяжении последних лет она обеспечивала автоматизацию информационного взаимодействия между антимонопольным ведомством, региональными тарифными регуляторами, муниципальными образованиями и регулируемыми организациями, в рамках установления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изменениям, теперь в неё будет включена полная информация по всем регулируемым организациям и органам регулирования, т.е. аккумулирование всех сведений произойдет на сайте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система будет применять модель «единого информационного окна», что позволит потребителям и заинтересованным лицам осуществлять поиск соответствующей информации на одном ресурсе.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«Стандарты раскрытия информации – это важный инструмент, позволяющий сделать работу ресурсоснабжающих организаций доступной и прозрачной, - указал руководитель ФАС России Игорь Артемьев. - Опубликование сведений посредством системы ФГИС ЕИАС ФАС России является первым глобальным шагом, направленным на дальнейшее развитие цифровой экономики страны».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такого рода изменений способствует обеспечению открытости регулируемых организаций и органов регулирования, что в свою очередь способствует реализации положений указа Президента Российской Федерации об основных направлениях государственной политики по развитию конкуренции, а также является составной частью цифровизации отраслей экономики Российской Федерации», 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31.03.2018 №390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