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законодательные иммунитеты в отношении интеллектуальной собственности не должны способствовать монополизации товарных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18:53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Некоторые стандартные категории антимонопольного регулирования не работают на цифровых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критерии определения рыночной власти изменяются. Многие компании получают рыночную власть, не имея доли на товарном рынке, а владея большими объемами данных и контролируя информационные платформы. Необходимо оперативно реагировать на новые вызовы. В связи с этим ФАС подготовлен «пятый антимонопольный пакет». Сейчас он проходит публичное обсуждение с заинтересованными участниками рынка, - сообщил замглавы ФАС Сергей Пузыревский на открытии научно-практической конференции «Антимонопольное регулирование в цифровую эпоху». – Его основное призвание обеспечить эффективный антимонопольный контроль на цифровых рынках. Законопроект пересматривает критерии определения доминирующего положения на рынке и применение антимонопольного законодательства к объектам интеллектуальной собственности».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замглавы ФАС в законодательстве должны появиться дополнительные критерии, позволяющие отнести к доминирующим субъектам владельцев крупных инфраструктурных платформ, которые могут оказывать влияние на условия обращения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затронул тему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«Закон о защите конкуренции не распространяется на антиконкурентные действия и соглашения по использованию исключительных прав на объекты интеллектуальной собственности. Это привело к тому, что крупные иностранные правообладатели получают необоснованные преимущества в ущерб развитию конкуренции на товарных рынках», - заявил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 и постановление Конституционного суда Российской Федерации, который указал, что положения антимонопольного законодательства не могут интерпретироваться и применяться таким образом, что интересы правообладателей выводятся из-под действия механизмов конституционно-значимых ценностей. Здесь нужно еще раз напомнить, что конкуренция – одна из конституционно-значимых ценностей», - сообщил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особенности цифровой экономики и постановление Конституционного суда необходимо распространить действие Закона о защите конкуренции на действия и соглашения по осуществлению исключительных прав на результаты интеллектуальной деятельности и определить особенности применения антимонопольного законодательства на цифровых рынках», - отметил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выступления Сергей Пузыревский выразил надежду на продолжение дискуссии по этим вопросам уже в рамках нормотворческой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