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Вниманию СМИ: уточнения по завершении заседания Правительственной комиссии по контролю за осуществлением иностранных инвестиций</w:t>
      </w:r>
    </w:p>
    <w:p xmlns:w="http://schemas.openxmlformats.org/wordprocessingml/2006/main" xmlns:pkg="http://schemas.microsoft.com/office/2006/xmlPackage" xmlns:str="http://exslt.org/strings" xmlns:fn="http://www.w3.org/2005/xpath-functions">
      <w:r>
        <w:t xml:space="preserve">28 апреля 2018, 17:00</w:t>
      </w:r>
    </w:p>
    <w:p xmlns:w="http://schemas.openxmlformats.org/wordprocessingml/2006/main" xmlns:pkg="http://schemas.microsoft.com/office/2006/xmlPackage" xmlns:str="http://exslt.org/strings" xmlns:fn="http://www.w3.org/2005/xpath-functions">
      <w:pPr>
        <w:jc w:val="both"/>
      </w:pPr>
      <w:r>
        <w:t xml:space="preserve">Сегодня на заседании Правительственной комиссии по контролю за осуществлением иностранных инвестиций была рассмотрена сделка по приобретению до 50% компании Uniper, в результате которой будет приобретено менее 50% ПАО Юнипро, имеющего стратегическое значение.</w:t>
      </w:r>
    </w:p>
    <w:p xmlns:w="http://schemas.openxmlformats.org/wordprocessingml/2006/main" xmlns:pkg="http://schemas.microsoft.com/office/2006/xmlPackage" xmlns:str="http://exslt.org/strings" xmlns:fn="http://www.w3.org/2005/xpath-functions">
      <w:pPr>
        <w:jc w:val="both"/>
      </w:pPr>
      <w:r>
        <w:t xml:space="preserve">Правительственной комиссией по контролю за осуществлением иностранных инвестиций принято решение о продлении рассмотрения сделки компании «Шлюмберже» в отношении российской компании «Евразия».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Хозяйственное общество, находящееся под косвенным контролем гражданина Республики Казахстан, планирует приобрести 50% компании, контролирующей ООО «Порт Высоцкий», и, кроме того, на основании заключенного акционерного соглашения, приобрести права, позволяющие определять условия ведения хозяйственной деятельности данного общества. ООО «Порт Высоцкий» является хозяйствующим субъектом, оказывающим услуги по погрузке и выгрузке угля на собственном терминале, и занимает доминирующее положение на данном рынке. По результатам рассмотрения сделки принято решение о ее согласовании с возложением обязательств на иностранного инвестора, предусматривающих в том числе исполнение бизнес-плана, предполагающего вложение инвестиций в развитие порта.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