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господержка частного инвестора не должна превосходить его вклад в экономику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16:57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плюсах и минусах законопроекта о специальном инвестиционном контракте рассказал заместитель руководителя ФАС России Сергей Пузыревский в рамках Петербургского международного юридического форума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Темой обсуждения одной из сессий ПМЮФ-2018 стали долгосрочные инвестиции и их влияние на российскую экономику.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заместитель руководителя ФАС России Сергей Пузыревский, уровень государственного сектора в российской экономике достаточно высок, что негативно сказывается на развитии конкуренции. В этом свете особую актуальность приобретает принятие закона о специальном инвестиционном контракте. Его проект в настоящее время активно обсуждается экспертным и профессиональным сообществом.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«Приход частного инвестора в сферы экономической деятельности – плюс для конкуренции, – </w:t>
      </w:r>
      <w:r>
        <w:t xml:space="preserve">отметил Сергей Пузыревский. </w:t>
      </w:r>
      <w:r>
        <w:rPr>
          <w:i/>
        </w:rPr>
        <w:t xml:space="preserve">– Второй большой плюс законопроекта - неизменность правил игры. Если они будут обеспечены, то инвестору будет комфортно, он сможет прогнозировать ситуацию. Необходимо сформировать взаимное доверие между регулятором и бизнесом».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[video_1215]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словам замруководителя ФАС России, в законопроекте есть и вопросы, которым следует уделить дополнительное внимание.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первую очередь, это меры государственной поддержки, которые оказываются инвестору. Речь идет об обеспечении прозрачности процедуры их предоставления. При этом необходимо, чтобы поддержка со стороны государства не превосходила вложения инвестора в экономику. Любые инвестиции должны быть направлены на развитие конкуренции», </w:t>
      </w:r>
      <w:r>
        <w:t xml:space="preserve">- заметил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темой обсуждения стали вопросы долгосрочной тарифной политики.</w:t>
      </w:r>
      <w:r>
        <w:br/>
      </w:r>
      <w:r>
        <w:t xml:space="preserve">
[photo_878]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«Стабильные условия тарифного регулирования являются гарантией эффективности инвестиций в российскую экономику.  В законопроекте появится норма, которая вводит требования к долгосрочным тарифным решениям, что также крайне важно для самочувствия инвестора и развития конкуренции», </w:t>
      </w:r>
      <w:r>
        <w:t xml:space="preserve">- рассказал представитель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по его словам, целесообразно, провести публичные обсуждения регуляторных контрактов в тарифном регулировании.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