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Группу лиц ПАО «Газпром»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10 мая 2017 года ФАС России признала Губернатора Самарской области, Министерства энергетики и ЖКХ Самарской области, группу ПАО «Газпром», ООО «Газпром межрегионгаз» нарушившими часть 4 статьи 16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соглашения заключалась в утверждении Программы развития газоснабжения и газификации Самарской области на 2016-2020 годы, учитывая исключительные интересы хозяйствующих субъектов, входящих в группу лиц ПАО «Газпром».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ФАС России компании обжаловали его в суде. Суды первой и апелляционной инстанции пришли к выводу, что заключение и реализация соглашения между региональными властями Самарской области и структурами ПАО «Газпром» «не обусловлено какими-либо объективными причинами и не имеет под собой технической, экономической или иной необходимости», а его единственной реальной целью «устранение ООО «СВГК» с рынка оказания услуг по транспортировке газа на территории Ставропольского района и Тольятти».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нарушение части 4 статьи 16 Закона о защите конкуренции предусмотрена административная ответственность по статье 14.32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4 статьи 14.32 КоАП РФ штраф за заключение недопустимого в соответствии с антимонопольным законодательством Российской Федерации соглашения либо участие в нем, составляет от двух тысячных до двух сотых размера суммы выручки правонарушителя от реализации товара (работы, услуги), на рынке которого совершено административное правонарушение, в случае, если административное правонарушение совершено на рынке товаров (работ, услуг), реализация которых осуществляется по регулируемым в соответствии с законодательством Российской Федерации ценам (тарифам).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к моменту привлечения к административной ответственности ПАО «Газпром» и ООО «Газпром межрегионгаз» исполнили предписание ФАС России в полном объеме, размер штрафа составил на ПАО «Газпром» составил 211 млн.руб., а на ООО «Газпром межрегионгаз» 412 тыс.руб.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совмещает функции антимонопольного органа и органа регулирования тарифов. Принятие мер антимонопольного воздействия предотвратило строительство неэффективной газораспределительной инфраструктуры. В свою очередь это ограничивает темпы роста тарифов в регионе», - сообщил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