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Молчанов рассказал о необходимости совершенствования правил заключения концессионных соглашений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2018, 15:02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качестве целей модернизации он назвал повышение качества конкурентной борьбы, привлечение частных инвестиций и повышение прозрачности тарифного регулирования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выступил в дискуссионной сессии «Практика заключения и исполнения и регуляторная среда концессионных соглашений в России: как достичь баланса частного и публичного интересов», организованной при поддержке Ассоциации НП «ОКЮР» в рамках Петербургского международного юридического форума.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Концессионные соглашения являются одной из самых распространенных форм структурирования отношений государства и частных инвесторов в рамках государственно-частного партнерства (ГЧП).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«Законодательство о концессионных соглашениях нуждается в совершенствовании, чтобы исключить возможность существования лжеконцессий. Большая часть средств должна идти от инвестора, государство должно лишь частично участвовать в финансировании проектов», - ранее отмечал руководитель ФАС России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официально сформулировали наши предложения по модернизации законодательства о концессионных соглашениях. Изменения помогут достичь конкурентных отношений в этой сфере, а обеспечение широкого недискриминационного доступа к ограниченному ресурсу, появление прозрачных правил и конкурсных отношений позволит привлекать частных инвесторов», - подчеркнул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напомнил об одной из целей принятого Национального плана развития конкуренции, которая может быть достигнута, в том числе, при помощи института концессий - обеспечение в каждой отрасли экономики не менее 3х хозяйствующих субъектов, минимум один из которых должен быть частным.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начальника Правового Управления ФАС России, нынешнее законодательство несовершенно и допускает возможность злоупотреблений при заключении концессионных соглашений и участие в них «лжеконцессий». ФАС России предлагает четко разграничить систему госзаказа, ГЧП и концессии, унифицировать правила проведения конкурсных отборов концессионеров, ввести в сферу электронные конкурсы, которые позволят снизить барьеры и антиконкурентные взаимоотношения в области распределения концессий.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«Наши предложения отражены в Дорожной карте, которая, надеемся, будет принята в ближайшее время. Также анализ сферы концессионных соглашений будет включен в ежегодный Доклад ФАС России о состоянии конкуренции», - отметил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своего выступления он подчеркнул, что «Конкуренция - не цель, а инструмент, который повышает степень удовлетворенности граждан товарами и услугами. Развитие конкуренции в области заключения концессионных соглашений, в числе других мер, станет одним из шагов по реализации задачи, поставленной Президентом России, по развитию отечественной экономики».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