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оставила в силе штраф АО «Челябинскгоргаз»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2018,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Челябинский УФАС России защитил права гражданина, относящегося к «льготной» категории потребителей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Арбитражный апелляционный суд признал законным постановление Челябинского УФАС России о наложении на АО «Челябинскгоргаз», нарушившего действующее законодательство при осуществлении процедуры технологического подключения гражданина к газораспределительным сетям, штрафа в размере 100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гражданин был вынужден обратиться в антимонопольную службу по факту включения в проект договора на техподключение без согласия потребителя максимального срока проведения мероприятий по подключению (два года вместо одного года), необходимости разработки проектной документации гражданином и условия о подготовке индивидуального проекта подключения, что признано «навязыванием» дополнительной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проверки Челябинским УФАС России, установлено, что заявитель относится к «льготной» категории потребителей: срок выполнения мероприятий по технологическому подключению для которой составляет 1 год, а в исключительных случаях (инвестиционная программа или соглашение сторон) может быть установлен 2 года (пункт 85 Правил № 1314). При этом, факт подключения объекта капитального строительства потребителя в рамках инвестиционной программы не подтвердился.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Подпунктом «б» пункта 97 Правил № 1314 установлено, что мероприятия по подключению объектов капитального строительства к сети газораспределения, предусматриваемые договором о подключении, включают в себя разработку заявителем проектной документации, согласно обязательствам, предусмотренным договором подключения, 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действующему законодательству застройщик вправе по собственной инициативе обеспечить подготовку проектной документации применительно к объекту индивидуального жилищного строительства. Факт обращения потребителя в АО «Челябинскгоргаз», в целью включения в проект договора пункта, предусматривающего разработку проектной документации также не подтвердился.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выявленных нарушений должностным лицом Челябинского УФАС России вынесено постановление о нарушении АО «Челябинскгорга» положений Правил № 1314 и наложении штрафа в размере 100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