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Ульяновске подписано Соглашение о взаимодействии между ФАС России и Правительством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14:21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июня 2018 года в Правительстве Ульяновской области прошло Совещание по вопросам реализации Национального плана по развитию конкуренции. Подобные совещания проходят во всех регионах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приняли участие Губернатор Ульяновской области Сергей Морозов, заместитель руководителя ФАС России Сергей Пузыревский, руководитель Ульяновского УФАС России Геннадий Спирчагов, министр развития конкуренции и экономики Ульяновской области Рустем Давлятшин, директор департамента госзакупок Инга Погорелова, председатель общественной палаты Ульяновской области Александр Чепухин, главы Администраций региона и представители общественности.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выступил Губернатор Ульяновской области Сергей Морозов. Он подвел промежуточные итоги по результатам реализации в области Указа Президента Российской Федерации от 21.12.2017 № 68 «Об основных направлениях государственной политики по развитию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программой совещания, о целях и задачах государственной политики по развитию конкуренции в Российской Федерации и субъектах Российской Федерации рассказал заместитель руководителя Федеральной антимонопольной службы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исполнения поручения Президента РФ готовятся изменения в Стандарт развития конкуренции в субъектах РФ, с учётом формирования в субъектах РФ на основании материалов, подготовленных рабочей группой Государственного Совета РФ, перечней ключевых показателей развития конкуренции, отражающих долю организаций частной формы собственности в отраслях (сферах) экономики субъектов РФ. Таких показателей определено 41, - </w:t>
      </w:r>
      <w:r>
        <w:t xml:space="preserve">сообщил замглавы ФАС. </w:t>
      </w:r>
      <w:r>
        <w:rPr>
          <w:i/>
        </w:rPr>
        <w:t xml:space="preserve">- Регион может выбрать дополнительные показатели (рынки) с учётом особенностей и задач социально-экономического развития, опыта внедрения Стандарта развития конкуренции. При выборе дополнительных рынков рекомендуется учитывать мультипликативный эффект – развитие смежных рынков».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необходимо создание системы обучения органов власти и предотвращения нарушений АМЗ в субъектах РФ, в том числе: активизация работы Учебно-методического центра ФАС России, взаимодействие с научным сообществом, внедрение антимонопольного комплаенса, т.к. основная нагрузка ложится на отраслевые министерства и правительства регионов», - </w:t>
      </w:r>
      <w:r>
        <w:t xml:space="preserve">добавил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Ульяновского УФАС России Геннадий Спирчагов поделился с участниками совещания практикой применения антимонопольного законодательства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«Региональное управление ФАС открыто к диалогу, дальнейшему конструктивному сотрудничеству и взаимодействию с Правительством и общественными организациями Ульяновской области. У нас большой опыт. Практика нашего Управления подтверждает, что реформа контрольно-надзорной деятельности ФАС идёт успешно. Введение института предупреждений и предостережений значительно уменьшило количество рассматриваемых дел», - </w:t>
      </w:r>
      <w:r>
        <w:t xml:space="preserve">указал Геннадий Спирчагов.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pPr>
              <w:jc w:val="both"/>
            </w:pPr>
            <w:r>
              <w:t xml:space="preserve">Статистика Ульяновского УФАС России</w:t>
            </w:r>
          </w:p>
        </w:tc>
        <w:tc>
          <w:tcPr/>
          <w:p>
            <w:pPr>
              <w:jc w:val="both"/>
            </w:pPr>
            <w:r>
              <w:rPr>
                <w:b/>
              </w:rPr>
              <w:t xml:space="preserve">2016</w:t>
            </w:r>
          </w:p>
        </w:tc>
        <w:tc>
          <w:tcPr/>
          <w:p>
            <w:pPr>
              <w:jc w:val="both"/>
            </w:pPr>
            <w:r>
              <w:rPr>
                <w:b/>
              </w:rPr>
              <w:t xml:space="preserve">2017</w:t>
            </w:r>
          </w:p>
        </w:tc>
      </w:tr>
      <w:tr>
        <w:tc>
          <w:tcPr/>
          <w:p>
            <w:pPr>
              <w:jc w:val="both"/>
            </w:pPr>
            <w:r>
              <w:rPr>
                <w:b/>
              </w:rPr>
              <w:t xml:space="preserve">Заявления</w:t>
            </w:r>
          </w:p>
        </w:tc>
        <w:tc>
          <w:tcPr/>
          <w:p>
            <w:pPr>
              <w:jc w:val="both"/>
            </w:pPr>
            <w:r>
              <w:t xml:space="preserve">269</w:t>
            </w:r>
          </w:p>
        </w:tc>
        <w:tc>
          <w:tcPr/>
          <w:p>
            <w:pPr>
              <w:jc w:val="both"/>
            </w:pPr>
            <w:r>
              <w:t xml:space="preserve">307</w:t>
            </w:r>
          </w:p>
        </w:tc>
      </w:tr>
      <w:tr>
        <w:tc>
          <w:tcPr/>
          <w:p>
            <w:pPr>
              <w:jc w:val="both"/>
            </w:pPr>
            <w:r>
              <w:rPr>
                <w:b/>
              </w:rPr>
              <w:t xml:space="preserve">Дела</w:t>
            </w:r>
          </w:p>
        </w:tc>
        <w:tc>
          <w:tcPr/>
          <w:p>
            <w:pPr>
              <w:jc w:val="both"/>
            </w:pPr>
            <w:r>
              <w:t xml:space="preserve">39</w:t>
            </w:r>
          </w:p>
        </w:tc>
        <w:tc>
          <w:tcPr/>
          <w:p>
            <w:pPr>
              <w:jc w:val="both"/>
            </w:pPr>
            <w:r>
              <w:t xml:space="preserve">14</w:t>
            </w:r>
          </w:p>
        </w:tc>
      </w:tr>
      <w:tr>
        <w:tc>
          <w:tcPr/>
          <w:p>
            <w:pPr>
              <w:jc w:val="both"/>
            </w:pPr>
            <w:r>
              <w:rPr>
                <w:b/>
              </w:rPr>
              <w:t xml:space="preserve">Предупреждения и предостережения</w:t>
            </w:r>
          </w:p>
        </w:tc>
        <w:tc>
          <w:tcPr/>
          <w:p>
            <w:pPr>
              <w:jc w:val="both"/>
            </w:pPr>
            <w:r>
              <w:t xml:space="preserve">47</w:t>
            </w:r>
          </w:p>
        </w:tc>
        <w:tc>
          <w:tcPr/>
          <w:p>
            <w:pPr>
              <w:jc w:val="both"/>
            </w:pPr>
            <w:r>
              <w:t xml:space="preserve">107</w:t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развития конкуренции и экономики Ульяновской области Рустем Давлятшин рассказал о разработке ключевых показателей развития конкуренции в Ульяновской области в соответствии с Перечнем поручений Президента РФ от 15 мая 2018 года №Пр-817ГС. Отметил важность развития конкуренции в регионе и отчитался по итогам реализации и предполагаемым изменениям в плане мероприятий «Дорожной карте» развития конкуренции в Ульяновской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департамента государственных закупок Министерства развития конкуренции и экономики Ульяновской области Инга Погорелова рассказала о мерах и механизмах, реализуемых на территории Ульяновской области в целях развития конкуренции в сфере закупок: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2017 году, благодаря успешно осуществленным запланированным на год мероприятиям, были реализованы все основные требования Стандарта развития конкуренции. С 2017 года на территории Ульяновской области в целях повышения эффективности организации закупочной деятельности, а также создания благоприятных условий для бесперебойного и надлежащего обеспечения государственных нужд, обеспечено единое информационное пространство посредством полномасштабного внедрения региональной информационной системы в сфере закупок».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Общественной палаты Ульяновской области Александр Чепухин выступил с докладом на тему: «О предложениях по механизмам общественного контроля за результатами реализации Национального плана по развитию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Ульяновской области наблюдается негативная тенденция при проведении совместных закупок. Практика совместных торгов ничего положительного не дала. У Общественной палаты также есть вопросы к деятельности АНО, НКО, когда бюджетные средства распределяются без торгов», - </w:t>
      </w:r>
      <w:r>
        <w:t xml:space="preserve">отметил в своём выступлении Александр Чепухин.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Итогом проведения совещания стало подписание Соглашения о взаимодействии между Федеральной антимонопольной службой и Правительством Ульяновской области. В подписании приняли участие заместитель руководителя ФАС России Сергей Пузыревский и Губернатор Ульяновской области Сергей Морозов.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[photo_915]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