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систему «одного окна» для застройщиков предложено включить процедуру административного обжалования действий госорганов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2018, 12:26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АСИ обсудили предложения по модернизации законодательства в части условий ведения предпринимательской деятельности в градостроительной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площадке Агентства стратегических инициатив прошли заседания экспертной группы по доработке программного документа - плана системных изменений предпринимательской среды «Трансформация делового климата»* в части раздела «Градостроительная деятельность». В совещании приняли участие представители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содержит раздел, посвященный снятию административных барьеров и нормативных ограничений при ведении бизнеса, в том числе устранению избыточных, устаревших и противоречащих друг другу требований, содержащихся в НПА в сфере градостроительной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него включены меры по переводу услуг в электронный вид, совершенствованию порядка проектирования и экспертизы проектной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совещания представитель ФАС России сообщил о предложении, разработанном совместно с Минстроем России, о включении в систему «одного окна» для застройщиков процедуру административного обжалования действий органов власти и сетевых организаций. Соответствующие жалобы рассматриваются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сегодня ведомством подготовлены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поправки
        </w:t>
        </w:r>
      </w:hyperlink>
      <w:r>
        <w:t xml:space="preserve">, расширяющие права предпринимателей на ускоренное рассмотрение жалоб. Законопроект был единогласно поддержан в первом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выступления заместитель начальника Управления контроля строительства и природных ресурсов ФАС России Давид Акопян отметил, что многие инициативы ФАС России, поддержанные Минстроем России и включенные в проект «дорожной карты» по развитию конкуренции в отраслях экономики РФ на 2018-2020 гг. в разделе «Строительство», находят отражение в программном документе «Трансформация делового климата».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Развитие конкуренции напрямую связано с улучшением делового климата и положительно скажется на экономике в целом. Такие задачи поставлены перед нами Президентом в рамках реализации Национального плана развития конкуренции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В соответствии с поручениями Президента и Правительства Минэкономразвития совместно с заинтересованными ФОИВ, субъектами Российской Федерации, АСИ и ведущими деловыми объединениями подготовили предложения по модернизации законодательства в части условий ведения предпринимательской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1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