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активное привлечение малого и среднего бизнеса к госзакупкам – одно из самых эффективных способов развития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15:31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Доля госзакупок, участниками которых являются только субъекты малого предпринимательства и социально ориентированные некоммерческие организации, должна увеличиться не менее чем в два раза по сравнению с 2017 годом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сказал 12 июля на совещании по вопросам реализации Национального плана развития конкуренции в Российской Федерации на 2018-2020 годы, проведенном совместно с врио губернатора Воронежской области Александра Гусева и при участии членов правительства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согласно Нацплану, к 2020 году предстоит обеспечить присутствие не менее трех хозсубъектов во всех отраслях экономики (за исключением сфер естественных монополий), не менее чем один из которых относится к частному бизнесу. Отдельно оговаривается снижение количества нарушений антимонопольного законодательства со стороны органов власти не менее чем в 2 раза. Сегодня таких нарушений – около 50%. Кроме того, доля госзакупок, участниками которых являются только субъекты малого предпринимательства и социально ориентированные некоммерческие организации, должна увеличиться не менее чем в два раза по сравнению с 2017 годом.</w:t>
      </w:r>
      <w:r>
        <w:br/>
      </w:r>
      <w:r>
        <w:t xml:space="preserve">
[video_1416]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«Активное привлечение малого и среднего бизнеса к госзакупкам – одно из самых эффективных направлений в вопросах частного предпринимательства», </w:t>
      </w:r>
      <w:r>
        <w:t xml:space="preserve">– подчеркнул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«Успешная конкурентная политика сегодня определяет состояние отраслей, территорий и экономики в целом. Решение поставленных перед нами задач требует объединения усилий», </w:t>
      </w:r>
      <w:r>
        <w:t xml:space="preserve">– сказал глава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руководитель Воронежского УФАС России Денис Чушкин сообщил, что с начала года в управление поступило более двухсот жалоб на нарушение антимонопольного законодательства, примерно 20% из которых были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приняли участие представители территориальных органов федеральных органов исполнительной власти, руководители исполнительных органов власти региона, главы администраций муниципальных образований и городских округов Воронежской области, а также представители общественных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