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Максим Овчинников: многие показатели по развитию конкуренции в Еврейской автономной области уже достигнуты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июля 2018, 10:34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 регионом подписано соглашение, направленное на защиту конкуренции, создание условий для эффективного функционирования товарных рынков и реализацию государственной политики по развитию конкуренции в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Федеральной антимонопольной службы Максим Овчинников в Хабаровском УФАС провел с высшими должностными лицами Еврейской автономной области консультацию по вопросам реализации Национального плана развития конкуренции и поручений Президента РФ по итогам Госсовета.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«Центральный аппарат и территориальное управление ФАС окажут всяческую поддержку региону. Мы будем осуществлять методическое сопровождение и помогать в сборе сведений о выполнении мероприятий по развитию конкуренции. В связи с этим вам необходимо очертить круг вопросов, на которые вы не в полной мере можете повлиять, например, недискриминационный доступ к инфраструктуре субъектов естественных монополий и стратегии больших государственных компаний в регионе. Выявленные проблемы мы будем ретранслировать на уровне Правительства РФ», - заметил Максим Овчинников.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 </w:t>
      </w:r>
      <w:r>
        <w:br/>
      </w:r>
      <w:r>
        <w:t xml:space="preserve">
Он особо подчеркнул значимость обратной связи от властей региона для более эффективной совместной работы над задачами, поставленными Нацпланом и поручениями по итогам Госсовета.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разработки «дорожной карты» по содействию развитию конкуренции в регионах субъекту необходимо будет выбрать из 41 сферы не менее 33. Это те отрасли экономики, в которых регион до 2022 года будет увеличивать долю частных организаций и снижать объем госсектора.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Максим Овчинников отметил, что область уже достигла многих показателей.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следует учитывать, что если фактическое значение показателя превышает минимальное значение, то ключевой показатель может быть определен выше фактического значения и региону необходимо будет обеспечивать его динамику.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председателя правительства Еврейской автономной области Николай Канделя рассказал, что в настоящее время регион ведет активную работу в части развития практики заключения концессионных соглашений. В частности, этот инструмент начал применяться субъектом в системе ЖКХ.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заместителя председателя правительства региона, реализация таких соглашений позволит увеличить присутствие частного сектора на рынках.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