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Шлычков: регионы могут самостоятельно определить более широкий перечень рынков для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09:28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«Дорожным картам» развития конкуренции в регионах и показателям их исполнения был посвящен доклад заместителя начальника Правового управления Федеральной антимонопольной службы (ФАС России) Александра Шлычкова на семинаре-совещании территориальных органов ФАС России Дальневосточного федерального округа в Якутии 26 июля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Шлычков подробно рассказал участникам семинара об основных положениях Национального плана развития конкуренции, утвержденного Указом Президента от 21 декабря 2017г №618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России определяет в качестве целей государственной политики повышение удовлетворенности потребителей, повышение экономической эффективности и конкурентоспособности, стабильный рост и развитие многоукладной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ключевых показателей развития конкуренции до 2020 года Александр Шлычков назвал обеспечение во всех отраслях экономики, за исключением сфер естественных монополий, присутствия не менее 3 хозсубъектов, не менее чем 1 из которых относится к частному бизнесу. Другим ключевым показателем является снижение количества нарушений антимонопольного законодательства со стороны органов власти не менее чем в 2 раза по сравнению с 2017 годом. Также реализация положений Национального плана развития конкуренции позволит увеличить долю госзакупок, участниками которых являются только субъекты малого предпринимательства и социально ориентированные некоммерческие организации, не менее чем в 2 раза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Правового управления напомнил, что до 1 января 2019 года органам власти субъектов РФ надлежит внести изменения в положения об органах власти, предусматривающие приоритет целей и задач по содействию развитию конкуренции. А до 1 марта 2019 г. необходимо принять меры, направленные на создание и организацию антимонопольного комплаенса в органах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отличие от хозяйствующих субъектов, для которых внедрение внутренней системы риска нарушения антимонопольного законодательства, является добровольным мероприятием, для органов власти - это обязательное требование. Направлено оно на сокращение нарушений закона со стороны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Шлычков отметил, что субъект РФ принимает обязательства по достижению ключевых показателей, выбирая не менее 80% (не менее 33) из 41 показателя.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фактическое значение показателя превышает минимальное значение, то ключевой показатель может быть определен выше фактического значения и обеспечивать динамику»,</w:t>
      </w:r>
      <w:r>
        <w:t xml:space="preserve"> - заявил Александр Шлычков.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 может самостоятельно определить более широкий перечень сфер (отраслей, рынков) для развития конкуренции в ближайшие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