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Субъекты МСП смогут арендовать земельные участки на спецторгах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2018, 09:45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Вступили в силу поправки в Закон о развитии МСП, расширяющие имущественную поддержку субъектов малого и среднего предпринимательства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3 июля 2018 года субъекты МСП смогут участвовать в специализированных торгах на право аренды земельных участков, включенных в перечни государственного или муниципального имущества, предназначенного для передачи во владение/пользование субъектами МСП. Ранее перечни включали только помещения и здания.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Расширение возможностей приобретения новых имущественных прав на конкурентной основе для субъектов МСП стало возможно благодаря предложениям ФАС России, включенным в законопроект Министерства экономического развития, на стадии согласования документа с органами исполнительной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«Субъектам МСП объективно проблематично конкурировать с крупными компаниями на торгах на земельный ресурс. Поправки в Закон о развитии МСП, предусматривающие распределение прав на землю именно на конкурентной основе, т.е. на спецторгах, позволят повысить доступность земельных участков для предпринимателей», </w:t>
      </w:r>
      <w:r>
        <w:t xml:space="preserve">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