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Рачик Петросян: преимущество модели ГЧП - эффективное разделение работ и ответственности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сентября 2018, 11:21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и Минэкономразвития России прорабатывают поправки в законодательство о государственно-частном партнерстве (ГЧП) и концессиях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«Реализация крупных инфраструктурных проектов очень сложна и зачастую невозможна без участия государства. И сегодня наша задача разграничить зону отвественности частного сектора и государства, чтобы каждая из сторон могла максимально эффективно выполнить свою работу: государство – сформулировать задачу с точки зрения решения социальных задач, бизнес – найти наилучшее решение с точки зрения технологий и стоимости»</w:t>
      </w:r>
      <w:r>
        <w:t xml:space="preserve">, - сообщил заместитель руководителя ФАС России Рачик Петросян в ходе сессии «Инвестиции в развитие инфраструктуры: потенциал частного финансирования» Московского финансового форума.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подчеркнул, что ключевое преимущество ГЧП, концессий – эффективное разделение работы и ответственности государства и частного сектора.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«Сдерживающий фактор развития государственно-частного партнерства – неопределенность в регулировании взаимодействия бизнеса и власти. Сегодня совместно с Минэкономразвития России мы прорабатываем поправки, которые позволят изменить ситуацию»</w:t>
      </w:r>
      <w:r>
        <w:t xml:space="preserve">, - уточнил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выступает за включение в законодательство о ГЧП и концессиях положения об отложенных платежах, так называемой «инфраструктурной ипотеке», предусматривающей оплату строительства объекта по истечению определенного времени и после сдачи этого объекта в эксплуатацию. Установление отложенных выплат из федерального бюджета в рамках «инфраструктурной ипотеки» позволит устранить смешение концессионных и закупочных процедур.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