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промежуточные итоги контроля тарифных решений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2018, 15:52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указывает на необходимость систематизации работы всех контрольно-надзорных органов для оперативного устранения 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8 месяцев этого года антимонопольная служба отменила решения об установлении единых тарифов на услуги по передаче электрической энергии, которые были приняты с нарушением законодательства, в 13 субъектах Российской Федерации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.В целом ряде случаев действия ФАС в итоге привели к снижению тарифов для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обращает внимание на вопрос контроля и эффективного использования средств, предусмотренных на реализацию инвестиционных программ, в тарифах на услуги по передаче электроэнергии. В рамках контроля и мониторинга служба установила, что по целому ряду сетевых организаций имеют место существенные отклонения о ходе реализации утвержденной инвестпрограммы как по составу мероприятий, срокам, так и по величине затраченных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«Вопросу исполнения инвестиционных программ уделяется пристальное внимание. Социально-экономический прогноз устанавливает рост тарифов на передачу электроэнергии на уровне 3%, однако, региональные тарифные органы при установлении тарифов рассматривают инвестиционные программы сетевых компаний, и в итоге превышают установленный федеральным регулятором уровень, что приводит к значительному росту тарифа, </w:t>
      </w:r>
      <w:r>
        <w:t xml:space="preserve">- указал заместитель руководителя ФАС России Виталий Королев. </w:t>
      </w:r>
      <w:r>
        <w:rPr>
          <w:i/>
        </w:rPr>
        <w:t xml:space="preserve">– ФАС России не раз указывала на эту проблему. Службой был разработан проект поправок в Закон об электроэнергетике, который исключает право регулирующего органа субъекта Российской Федерации превышать установленные предельные уровни тарифов на услуги по передаче электрической энергии без согласования с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 тренд на объединение активов территориальных сетевых организаций (ТСО).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последние три года их количество сократилось на 34,7% - с 2617 до 1708. Продолжение консолидации активов ТСО в дальнейшем целесообразно осуществлять, в том числе экономическими мерами, например, путем внедрения метода эталонных затрат в сетевом комплексе. По нашему мнению, этот механизм позволит добиться прозрачного и ясного порядка ценообразования, что удобно всем участникам процесса: от регулируемых организаций до потребителя», </w:t>
      </w:r>
      <w:r>
        <w:t xml:space="preserve">- добавил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Республика Марий Эл, Республика Калмыкия, Республика Северная Осетия – Алания, Республика Тыва, Хабаровский край, Архангельская область, Мурманская область, Омская область, Псковская область, Ростовская область, Томская область, г. Севастополь, Ненецкий автономный округ.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