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ФАС совмещает функции по госнадзору за состоянием конкуренции и стимулированию ее развития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2018, 17:57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годы мы делаем все, чтобы вовлечь в орбиту развития конкуренции на финансовых рынках профильные министерства и Банк России»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заместитель руководителя ФАС России сообщил в заключительный день XVI Международного банковского форума «Банки России – XXI век».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по словам замглавы ведомства, служба планирует заниматься развитием финансовой сферы и в дальнейшем, </w:t>
      </w:r>
      <w:r>
        <w:rPr>
          <w:i/>
        </w:rPr>
        <w:t xml:space="preserve">«поскольку надзирая и контролируя, мы не можем молчать и копить в себе идеи, которые должны обсуждаться и реализовываться».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сообщил, что в соответствии с Указом Президента РФ и поручениям по итогам Госсовета, субъекты страны должны «перезапустить» Стандарты развития конкуренции, которые они уже внедрили, и сосредоточиться на реализации мероприятий по ним.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этих Стандартах нет раздела по финансовым рынкам, так как у региональных властей практически отсутствуют полномочия для их регулирования. Поэтому концентрация по развитию конкуренции на финансовых рынках остается на федеральном уровне»,</w:t>
      </w:r>
      <w:r>
        <w:t xml:space="preserve"> – пояснил замглавы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рассказал о планируемых изменениях в антимонопольном законодательстве. По словам спикера, они будут диктоваться теми переменами, которые происходят на рынке, а именно – цифровизацией.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склоняется к тому, что коррекция необходима. И надеется, что в диалоге с участниками отрасли мы выработаем правильные подходы, которые не затормозят развитие новых рынков, а будут способствовать их прогрессу», </w:t>
      </w:r>
      <w:r>
        <w:t xml:space="preserve">– отметил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намеченных совместных мероприятиях с Банком России, он сообщил, что «Дорожная карта» по развитию конкуренции на финансовых рынках предусматривает подготовку ряда совместных писем обоих регуляторов: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практике признания актом недобросовестной конкуренции действий банка по привлечению средств физических лиц в банковские вклады с последующим ухудшением потребительских свойств данных вкладов по сравнению с первоначально заявленными;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представления информации о стоимости платежных услуг при их представлении с использованием платежных терминалов;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профессиональной этики отдельных категорий специалистов финансовых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