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будет следить, чтобы участники рынка морских перевозок не уклонялись от перехода на тарифы в рублях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12:04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о симбиозе функционирования железнодорожного транспорта и морских портов, а также разъяснил положения нормативных правовых актов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долгосрочного тарифа на железнодорожные перевозки поддерживают все участники рынка, т.к. это позволяет инвесторам рассчитывать стоимость товара, который они продают, в том числе и на экспорт», </w:t>
      </w:r>
      <w:r>
        <w:t xml:space="preserve">- сообщил заместитель руководителя ФАС России Виталий Королев в рамках сессии «Портовая инфраструктура: новые возможности для инвесторов» Восточного экономического форума 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50 процентов наших экспортных грузов составляет уголь. Государство уделяет пристальное внимание этому вопросу. Так, 27 августа в Кемерово состоялось заседание Комиссии при Президенте РФ по стратегическому развитию ТЭК и экологической безопасности, где предметно обсуждались задачи и пути их решения по развитию железнодорожной инфраструктуры и расширению её мощностей для перевозки угля для портов Дальнего Востока»,</w:t>
      </w:r>
      <w:r>
        <w:t xml:space="preserve"> 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сложилась благоприятная конъюнктура экспорта угля. Его стоимость в настоящее время находится на максимуме. Это обстоятельство привело к тому, что наряду с современными технологическими портами появилось множество перегрузочных площадок, с которыми также следует проводить профилактическую работу, чтобы они не нарушали антимонопольное законодательство», </w:t>
      </w:r>
      <w:r>
        <w:t xml:space="preserve">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подробно остановился на положениях Закона о переводе портовых тарифов в рубли.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«Он устанавливает требование тарификации услуг морских портов за рубли, а не за иностранную валюту, как было раньше. Кроме того, предусмотрены переходные положения, позволяющие частным инвесторам, взявшим кредиты или займы на развитие инфраструктуры в портах в валюте, погасить эти обязательства, а затем переходить на рублевые тарифы после погашения таких кредитов, но не позднее 2025 года, </w:t>
      </w:r>
      <w:r>
        <w:t xml:space="preserve">- продолжил Виталий Королев.</w:t>
      </w:r>
      <w:r>
        <w:rPr>
          <w:i/>
        </w:rPr>
        <w:t xml:space="preserve"> - Антимонопольная служба будет следить, чтобы положения закона не использовались отдельными участниками рынка для уклонения от перехода на тарифы в рублях. В целом считаем, что этот переход – правильная мера, тем более что это уже коснулось всех отраслей российской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тему правового регулирования отрасли транспортных перевозок, замглавы службы указал, что, по мнению ФАС, инвестиционный сбор, который был введен Законом о морских портах, должен взиматься с тех компаний, которые арендуют государственное имущество в портах.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«Частные инвесторы и порты Дальнего Востока и Арктического бассейна должны быть освобождены от уплаты инвестиционного сбора», - </w:t>
      </w:r>
      <w:r>
        <w:t xml:space="preserve">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выступление, замруководителя ведомства рассказал о работе по обеспечению недискриминационного доступа к услугам морских портов и железнодорожных перевозок, а также призвал участников рынка направлять в ФАС предложения по их совершенствованию для дальнейшего общественного обсуждения.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Фото: Фотобанк Росконгресса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