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малому и среднему бизнесу нужен больший доступ к рекламным конструкциям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15:34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 о внесении изменений в Закон о рекламе предполагает расширение возможностей рекламодателей из числа МСП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25 сентября 2018 года, заместитель руководителя ФАС России Андрей Кашеваров принял участие в панельной дискуссии "Цели и задачи правового регулирования наружной рекламы" в рамках деловой программы 26-ой международной специализированной выставки РЕКЛАМА-2018.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Темой встречи стал законопроект о внесении изменений в Закон о рекламе, который предполагает право безусловного демонтажа рекламных конструкций, общие правила организации торгов, автоматический порядок выдачи разрешений. Помимо прочего документ также предлагает проведение специализированных торгов для субъектов малого и среднего бизнеса: не менее 20 % от общего количества.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"Законопроект является достаточно объемным, и там много нюансов, которые обсуждались с регуляторами, региональными и муниципальными властями и бизнес-сообществом. Нынешний вид документа – это консенсус того, как должен выглядеть рынок", </w:t>
      </w:r>
      <w:r>
        <w:t xml:space="preserve">– сообщил замглавы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основных проблем, в настоящий момент существующих на рынке, он назвал незаконно установленные рекламные конструкции, которые, по мнению спикера, размывают бизнес и нивелируют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"Когда вводились аукционы, мы надеялись, что непрозрачные схемы распределения уйдут в прошлое",</w:t>
      </w:r>
      <w:r>
        <w:t xml:space="preserve"> –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"Для рекламораспространителей доступ к рекламным конструкциям должен быть расширен, поскольку для определенного сегмента бизнеса наружная реклама – приоритетный способ продвижения своих товаров и услуг. Мы должны учитывать возможность выстраивания коммуникаций, в том числе и для малого бизнеса",</w:t>
      </w:r>
      <w:r>
        <w:t xml:space="preserve"> – заявил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том, что законопроект предполагает наделение должностных лиц органов местного самоуправления правом составлять протоколы нарушений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также обсудили вопросы саморегулирования; практики работы регуляторов Москвы, Московской области и Санкт-Петербурга с правилами, установленными ГОСТами; особенности проведения конкурсов и аукционов в наружной рекламе; опыт проведения торгов на право размещения рекламы на транспорте и регуляторные риски.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Организаторами дискуссии выступили Ассоциация коммуникационных агентств России (АКАР) и Национальная Ассоциация визуальных коммуникаций (НАВК).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