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рассматривает варианты внедрения показателей, позволяющих оценивать степень удовлетворенности потребителей услугами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2018, 11:55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27 сентября 2018 года представители ФАС России обсудили с участниками Всероссийской научно-практической конференции «Стратегия развития конкуренции в России: опыт регионов» механизмы развития конкуренции на конкретных региональных и муниципальных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Пузыревский, открывая секцию, подробно остановился на целях и задачах развития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сторонники того, чтобы государство уходило из всех сфер экономики, поскольку оно несет на себе определенные социальные обязательства. Однако, если на рынках работают исключительно унитарные предприятия, то его издержки и долги негативно отражаются на бюджете, что является прямым сигналом для развития конкуренции на этом рынке и привлечения на него частного сектора», </w:t>
      </w:r>
      <w:r>
        <w:t xml:space="preserve">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Указом Президента № 618 и поручениями по итогам Госсовета регионам надлежит определить ключевые рынки для развития конкуренции и внедрить институт антимонопольного комплаенса в работе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ФАС России согласована методика по расчету ключевых показателей развития конкуренции в отраслях экономики субъектов. Он уточнил, что в рамках подготовки методических рекомендаций ФАС России провела совещания с заинтересованными отраслевыми ведомствами.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подготовлены рекомендации по утверждению «дорожных карт», актуализации действующих и формировании одной или нескольких «дорожных карт» по отраслям или группам отраслей.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«Ряд регионов уже достиг хороших показателей развития конкуренции на различных рынках, но это не повод останавливаться. Этот результат необходимо закрепить. Такие меры должны быть закреплены в «дорожной карте. В настоящий момент мы рассматриваем варианты внедрения показателей, позволяющие оценивать изменения на успешных рынках для конечных потребителей, их удовлетворенность услугами. Возможно, бюджетное финансирование субъекта будет связано и прямо пропорционально такому критерию. Мы прорабатываем разные варианты стимулирования регионов исполнять планы не только «на бумаге», т.к. это никому не нужно», </w:t>
      </w:r>
      <w:r>
        <w:t xml:space="preserve">- добавил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в сфере ЖКХ Алексей Матюхин выступил с докладом, посвященным ключевым показателям развития конкуренции в жилищно-коммунальном хозяйстве. Он отметил, что Указ содержит показатели, конкретные цифры и сроки в области ЖКХ, которых предстоит добиться.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Привлечение малого и среднего бизнеса в отрасль позволит снизить плату за услуги управляющих компаний. Также как и в сфере благоустройства окружающей среды могут работать не только унитарные предприятия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унитарных предприятий колоссальное количество долгов и они пытаются за счет увеличения тарифов справиться с ними, обязав граждан платить за них. Разработан законопроект о запрете создания государственных и муниципальных предприятий. К 2020 году они должны быть ликвидированы, исключения предусмотрены только для сферы обороны и безопасности. Законопроект внесен на рассмотрение в Государственную Думу»,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Саратовского УФАС России Людмила Борисова рассказала о неочевидных сложностях, с которыми можно столкнуться на рынках муниципальных и межмуниципальных перевозок, порой требующих взаимодействия антимонопольного ведомства с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секции «Комплаенс органов власти. Основные нарушения и риски органов власти» начальник Правового управления ФАС России Артем Молчанов представил доклад, в котором отметил, что зачастую нарушения антимонопольного законодательства со стороны органов власти не свойственны другим государствам и экономикам.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примеру, в Швеции нет ни одного подобного дела в отношении органа власти. Тогда как в России было в 2016 году выдано более 3,4 тысяч предупреждений и заведено свыше 1,3 антимонопольных дел. В 2017 году – почти 3 тысячи предупреждений и 1260 дел»,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внедрение системы комплаенса в работе органов власти не панацея, однако может стать мерой предупреждения непреднамеренного совершения нарушения», </w:t>
      </w:r>
      <w:r>
        <w:t xml:space="preserve">- заключил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