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Государственная Дума в первом чтении одобрила законопроект ФАС об установлении единой пошлины по рассмотрению досудебных споров и разногласий в сфере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2018, 14:38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После принятия документа размер пошлины составит 120 000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апреля 2018 года в России действовало 10 различных порядков рассмотрения тарифных споров и разногласий, определенных 5 актами Правительства Российской Федерации. При этом по одному и тому же вопросу регулируемая организация могла обратиться в ФАС России, используя разные процедуры с разными сроками давности обращения и порядком принятия решений.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Складывалась такая ситуация, что за совершение ФАС России одинаковых юридически значимых действий было установлено два размера государственной пошлины: за рассмотрение разногласий размер государственной пошлины составлял 80 000 рублей, а за досудебное рассмотрение споров – 160 000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апреля 2018 года постановлением Правительства РФ утверждены единые правила рассмотрения споров и разногласий, связанных с установлением и применением тарифов, отменив существующие 10 процедур, содержащих противоречия.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«Таким образом, этот документ уницифировал процедуру рассмотрения указанных споров и разногласий. При этом положения Налогового кодекса, которые определяли размеры госпошлины, остались неизменными и необоснованно дифференцированы. В целях совершенствования законодательства Российской Федерации ФАС России разработала законопроект о внесении изменений в Налоговый кодекс», </w:t>
      </w:r>
      <w:r>
        <w:t xml:space="preserve">- сообщил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«Документ предлагает установить за принятие антимонопольным органом решений по заявлениям о рассмотрении споров и разногласий, связанных с установлением и применением цен единую государственную пошлину в размере 120 000 рублей. Предполагается, что при таком размере бюджет Российской Федерации может получить более 27 млн рублей», </w:t>
      </w:r>
      <w:r>
        <w:t xml:space="preserve">- указал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октября 2018 года Государственная Дума Российской Федерации приняла в первом чтении законопроект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«Разработанный антимонопольным ведомством документ является частью пакета мер, направленных на унификацию законодательства в сфере тарифного регулирования», - резюмировал Сергей Пузыревский.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