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В связи с публикациями в СМИ ФАС уточняет:</w:t>
      </w:r>
    </w:p>
    <w:p xmlns:w="http://schemas.openxmlformats.org/wordprocessingml/2006/main" xmlns:pkg="http://schemas.microsoft.com/office/2006/xmlPackage" xmlns:str="http://exslt.org/strings" xmlns:fn="http://www.w3.org/2005/xpath-functions">
      <w:r>
        <w:t xml:space="preserve">17 октября 2018, 20:56</w:t>
      </w:r>
    </w:p>
    <w:p xmlns:w="http://schemas.openxmlformats.org/wordprocessingml/2006/main" xmlns:pkg="http://schemas.microsoft.com/office/2006/xmlPackage" xmlns:str="http://exslt.org/strings" xmlns:fn="http://www.w3.org/2005/xpath-functions">
      <w:pPr>
        <w:jc w:val="both"/>
      </w:pPr>
      <w:r>
        <w:t xml:space="preserve">Предложения ФАС России о пересмотре параметров акцизов давалось ранее, до принятия Правительством решения о снижении цены отсечения применения демпфирующей надбавки к возвратному акцизу на нефть.</w:t>
      </w:r>
    </w:p>
    <w:p xmlns:w="http://schemas.openxmlformats.org/wordprocessingml/2006/main" xmlns:pkg="http://schemas.microsoft.com/office/2006/xmlPackage" xmlns:str="http://exslt.org/strings" xmlns:fn="http://www.w3.org/2005/xpath-functions">
      <w:pPr>
        <w:jc w:val="both"/>
      </w:pPr>
      <w:r>
        <w:t xml:space="preserve">В настоящее время ФАС России применяется комплекс мер, по увеличению ликвидности биржевых торгов, по снижению влияния на формирование цены перепродавцов, по увеличению поставок нефтепродуктов на внутренний рынок за счет увеличения его производства, а также снижения экспорта.</w:t>
      </w:r>
    </w:p>
    <w:p xmlns:w="http://schemas.openxmlformats.org/wordprocessingml/2006/main" xmlns:pkg="http://schemas.microsoft.com/office/2006/xmlPackage" xmlns:str="http://exslt.org/strings" xmlns:fn="http://www.w3.org/2005/xpath-functions">
      <w:pPr>
        <w:jc w:val="both"/>
      </w:pPr>
      <w:r>
        <w:t xml:space="preserve">Реализация данных мер будет способствовать поддержанию стабильности на рынке нефтепродуктов в параметрах ранее принятых правительством решений по налогам , в том числе уровню акцизов на нефтепродукты.</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