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Методические рекомендации по внедрению антимонопольного комплаенса в органах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октября 2018, 10:22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ФАС, этот инструмент будет содействовать снижению количества антимонопольных правонарушений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«Указом Президента Российской Федерации о государственной политике по развитию конкуренции до 1 марта 2019 года федеральные и региональные органы власти должны внедрить антимонопольный комплаенс в свою деятельность. Соответствующую методику разработала антимонопольная служба, а 18 октября Правительство Российской Федерации распоряжением её утвердило», </w:t>
      </w:r>
      <w:r>
        <w:t xml:space="preserve">- сообщил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«Антимонопольный комплаенс в конечном итоге позволит снизить в два раза нарушения Закона о защите конкуренции со стороны органов власти, что является ключевым показателем реализации Национального плана развития конкуренции», </w:t>
      </w:r>
      <w:r>
        <w:t xml:space="preserve">- добавил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излагаются цели, задачи и принципы комплаенса, перечисляются положения, которые должен содержать правовой акт органа власти о его внедрении, план мероприятий («дорожная карта») по снижению рисков нарушения антимонопольного законодательства и доклад об антимонопольном комплаенсе.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приводятся принципы выявления и оценки рисков, а также их матрица и требования к карте рисков.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документом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documents/66316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