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необходимо определить особенности применения антимонопольного законодательства на цифровых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2018, 12:01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Интеллектуальная собственность и информация управляет современными рынками. Об этом заявил заместитель руководителя Федеральной антимонопольной службы (ФАС России) Сергей Пузыревский, выступая на Евразийской неделе в Ереване 23 октября 2018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ФАС, цифровая экономика диктует новые правила антимонопольного регулирования, поскольку меняется структура рынков. Так, иностранные компании монополизируют рынки с помощью цифровых технологий. Картельные сговоры реализуются с использованием цифровых алгоритмов. А имеющиеся механизмы антимонопольного регулирования не отмечают современным вызовам.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рассказал участникам пленарной сессии о пятом антимонопольном (цифровом) пакете законов, разработанном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предлагаем поменять определение доминирующего положения на рынке, точнее ввести новые критерии. Например, доминирующим положением на рынке может обладать цифровая платформа, занимающая долю на рынке более 35%. При этом не может быть признано доминирующим положение цифровой платформы, если выручка от ее деятельности не превышает 400 миллионов рублей", -</w:t>
      </w:r>
      <w:r>
        <w:t xml:space="preserve"> сообщил С.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должны поменяться и подходы к координации экономической деятельности. Координация экономической деятельности с использованием ценовых алгоритмов может быть признана допустимой по общим правилам допустимости, то есть если польза для потребителя от такой координации превышает негативные эффекты. В качестве таких позитивных примеров замглавы ФАС привёл деятельность компании Uber или booking.com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также отметил, что в России сейчас закон о защите конкуренции не распространяется на антиконкурентные действия и соглашения по использованию исключительных прав на объекты интеллектуальной собственности. В результате этого иностранные правообладатели получают необоснованные преимущества в ущерб развитию конкуренции на товарных рынках. Одновременно замруководителя ФАС отметил, что положения Договора о ЕАЭС не предусматривает исключений применения антимонопольного законодательства к интеллектуальной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предлагает распространить действие закона о защите конкуренции на действия и соглашения по осуществлению исключительных прав на результаты интеллектуальной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