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модернизация законодательства в сфере строительства и снижение административных барьеров привели к практическому результату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2018, 18:46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Россия поднялась на 67 позиций в рейтинге Doing Business 2019 по направлению «Получение разрешения на строительство»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данным ежегодного доклада Всемирного банка, Россия поднялась на 67 позиций – со 115 на 48 место – в рейтинге Doing Business 2019 по направлению «Получение разрешения на строительство»*.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В последние несколько лет были приняты исчерпывающие перечни процедур в сферах строительства, сокращен срок выдачи разрешения на строительство с 10 до 7 рабочих дней,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введена
        </w:t>
        </w:r>
      </w:hyperlink>
      <w:r>
        <w:rPr>
          <w:i/>
        </w:rPr>
        <w:t xml:space="preserve"> «ускоренная процедура» административного обжалования в градостроении, призванная оперативно восстановить права застройщиков и пресечь нарушения со стороны органов власти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августе этого года Правительство Российской Федерации согласно положению Национального плана развития конкуренции в Российской Федерации на 2018 – 2020 годы, утвержденного Указом Президента России № 618,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утвердило 
        </w:t>
        </w:r>
      </w:hyperlink>
      <w:r>
        <w:t xml:space="preserve">планы мероприятий (комплексную «дорожную карту») по развитию конкуренции в отраслях экономики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Ключевая задача мероприятий раздела «Строительство» комплексной «дорожной карты» - создание современной цифровой платформы в строительной отрасли, предусматривающей перевод всех процедур в строительстве в электронный вид на базе единой системы «одного окна». Все обязательные требования, госуслуги и процедуры, электронные документы, например, разрешение на строительство или заключение экспертизы проектной документации, будут собраны цифровой платформой воедино.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документом предусмотрены мероприятия по унификации, оптимизации и установлении открытых, исчерпывающих нормативно-технических требований в строительстве. Сегодня такие требования предъявляются множеством документов различных ведомств, которые нередко противоречат друг другу.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«Развитие конкуренции положительно сказывается на улучшении делового климата и состоянии экономики. Именно такие задачи поставлены перед нами Президентом в рамках реализации Национального плана развития конкуренции. Перевод всех юридически значимых действий участников рынка в «цифру», предусмотренный «дорожной картой», позволит снизить административные барьеры входа на рынок, нагрузку на бизнес и его издержки, систематизирует работу участников градостроительных отношений и предупредит нарушения отраслевого законодательства»</w:t>
      </w:r>
      <w:r>
        <w:t xml:space="preserve">, - уточнил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Показатель отражает общее число процедур, время и денежные затраты, необходимые для строительства складского помещения, включая получение всех необходимых лицензий и разрешений, предоставление всех необходимых документов, запрос и прохождение всех полагающихся проверок, а также подключение к инженерным сетям. В дополнение к этому, в 2018 году «Ведение бизнеса» вводит новый показатель, индекс качества строительного контроля, который проводит оценку: качества регулирующих актов касающихся строительства, эффективности контроля за качеством и механизмов безопасности, режимов по ответственности и страхованию, а так же требований к уровню профессиональной квалификации. Последний раунд сбора данных по проекту завершился в мае 2018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548" TargetMode="External" Id="rId8"/>
  <Relationship Type="http://schemas.openxmlformats.org/officeDocument/2006/relationships/hyperlink" Target="https://fas.gov.ru/news/256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