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массовый приток инвестиций в инфраструктуру возможно обеспечить путем модернизации концессионного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2018, 14:06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Механизмы концессии должны стать прозрачны и удобны для участников концессионных отношений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«Ключевая проблема использования механизма концессии кроется в устаревшем регулировании, нехватке ясности и простоты применения как для органов власти, так и для частных инвесторов»</w:t>
      </w:r>
      <w:r>
        <w:t xml:space="preserve">, - сообщил заместитель руководителя ФАС России Рачик Петросян на деловом завтраке Министра транспорта Российской Федерации в рамках «Транспортной недели – 2018».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сегодня крупные инфраструктурные проекты возможно успешно реализовывать в ручном режиме, однако для того чтобы обеспечить массовый приток частных инвестиций в инфраструктуру на уровне регионов необходимо модернизировать концессионное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«Цель привлечения частных партнеров в концессионные проекты заключается не только в привлечении самих средств, но, прежде всего, в качественном повышении эффективности реализации самих проектов. В этом и есть принципиальная разница между концессией и госзаказом»</w:t>
      </w:r>
      <w:r>
        <w:t xml:space="preserve">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[video_1767]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«Транспортная неделя» – ежегодное деловое событие, проводимое в соответствии с распоряжением Правительства Российской Федерации и включающее в себя серию общероссийских и международных мероприятий по проблематике транспорта. В рамках мероприятия проходят конференции, посвященные вопросам развития и функционирования автомобильного, авиационного, железнодорожного, морского и речного транспорта. В работе «Транспортной недели» ежегодно принимают участие свыше 12 000 человек.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