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Яна Склярова: постановление Конституционного суда по параллельному импорту может стать основой для выработки позиции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2018,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Оно позволит рассматривать определенные действия правообладателей по реализации своих товаров не только в рамках Гражданского Кодекса, но 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заместитель начальника Управления контроля рекламы и недобросовестной конкуренции ФАС России Яна Склярова приняла участие в VI Международном форуме «Антиконтрафакт».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рассказала о выработанной Конституционным судом Российской Федерации правовой оценке деятельности так называемых "параллельных импортеров". По словам Яны Скляровой, эта позиция продвигалась антимонопольным ведомством очень давно.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напомнила, что ФАС России ранее уже выдавала предупреждения ряду правообладателей на рынке автомобильных запчастей, которые отказывались рассматривать заявления «параллельных импортеров» о получении разрешения на ввоз партий товара на территорию Российской Федерации. Теперь, получив юридическое толкование вопроса, поддерживающее подход антимонопольного органа, по результатам неисполнения этих предупреждений ФАС России предстоит рассмотреть дела о нарушении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исходим из тех тезисов, к которым пришел в своем постановлении Конституционный суд РФ. Основной из них – это возможность рассматривать определенные действия правообладателей по реализации своих товаров как злоупотребления, таким образом оценивая их не только в рамках Гражданского кодекса, но и антимонопольного законодательства»</w:t>
      </w:r>
      <w:r>
        <w:t xml:space="preserve">, – отметила заместитель начальника Управления контроля рекламы и недобросовестной конкуренции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такая позиция ведомства связана с его практикой, поскольку в ФАС часто обращаются импортеры разного уровня. Они сталкиваются с ситуацией, когда при попытке ввоза на территорию Российской Федерации товара правообладателя получают письма от правообладателей или их представителей, которые рекомендуют по вопросам приобретения товара обращаться непосредственно к авторам письма.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свете постановления Конституционного суда РФ подобные действия носят признаки злоупотребления правообладателем, так как они могут привести к неблагоприятным последствиям на соответствующих рынках. С нашей точки зрения понятие общественного интереса широкое. Оно может касаться и доступа граждан к искусственно не ограниченному ассортименту товаров и должной конкуренции цен и брендов»,</w:t>
      </w:r>
      <w:r>
        <w:t xml:space="preserve"> – подчеркнула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«Постановление Конституционного суда может стать правовой основой для выработки позиции и практики антимонопольного органа, а также важной вехой в рассмотрении дел по параллельному импорту»,</w:t>
      </w:r>
      <w:r>
        <w:t xml:space="preserve"> – резюмировала 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