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13 декабря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2018, 13:43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декабря 2018 года в 11.00 состоится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2019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коммерческого оператора, оказываемые АО «АТС», на 2019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оперативно-диспетчерскому управлению в электроэнергетике для ПАО «Сахалинэнерго» на 2019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«Нефтеюганскгаз» на территории Ханты-Мансийского автономного округа – Югры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«СМФ «Прометей» на территории Краснодарского края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«Региональные газовые системы» на территории Владимирской области»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«Самараоблгаз-сервис» на территории Самарской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«Средневолжская газовая компания» на территории Самарской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«Самарагаз» на территории Самарской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«Сызраньгаз» на территории Самарской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Ростов-на-Дону» на территории Ростовской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ПАО «Газпром газораспределение Ростов-на-Дону» на территории Ростовской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магистральному газопроводу (газопроводу-отводу) ФГУП «РФЯЦ-ВНИИЭФ»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цен на мощность генерирующего оборудования, отнесенного к генерирующим объектам, мощность которых поставляется в вынужденном режиме в целях обеспечения надежного электроснабжения потребителей, Симферопольской МГТЭС, Севастопольской МГТЭС, Западно-Крымской МГТЭС АО «Мобильные ГТЭС» на 2019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