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конкуренция – конституционная ценность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2018, 13:06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Начальник Управления по борьбе с картелями ФАС России рассказал о развитии и защите конкуренции как об одной из приоритетных задач 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и других вопросах применения антимонопольного законодательства говорили в ходе научно-практической конференции «Конституция 1993 года: вызов России и образ будущего», посвященной 25-летию Конституции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Организаторами мероприятия выступили Российская академия народного хозяйства и государственной службы при Президенте Российской Федерации и Ассоциация юристов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конференции обсудили роль и место Конституции Российской Федерации в современном правовом государстве, а также оценили соответствие конкурентной политики глобальным вызовам и тенденции цифровизации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«Конкуренцию необходимо не только развивать, но и защищать, иначе нам со временем  и развивать  будет нечего»</w:t>
      </w:r>
      <w:r>
        <w:t xml:space="preserve">, - отметил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Тенишев также рассказал о проводимой работе ФАС России по применению новейших технологий в целях эффективной борьбы с нарушениями законодательства, проводимых при помощи цифровых инструментов.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поэтапно реализуем наш проект « Большой цифровой кот»</w:t>
      </w:r>
      <w:r>
        <w:t xml:space="preserve">, - подчеркнул он. – </w:t>
      </w:r>
      <w:r>
        <w:rPr>
          <w:i/>
        </w:rPr>
        <w:t xml:space="preserve">Наши о нарушениях с использованием ценовых алгоритмов и аукционных роботов показали, что следы картелей в виртуальном пространстве можно находить и надежно фиксировать».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докладами о развитии конкуренции и ее конституционной ценности выступили академик РАН, сопредседатель Научного совета РАН по проблемам развития и защиты конкуренции Андрей Лисицын-Светланов, д.ю.н., член ЦИК Российской Федерации Александр Кинёв, д.ю.н., адвокат Шамиль Хазиев, к.ю.н., зам. Начальника Управления по борьбе с картелями ФАС России Антон Тесленко. Модерировал секцию д.ю.н., проф., главный научный сотрудник Института проблем развития науки РАН Сергей Максимов.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