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Воронежское УФАС России раскрыло сговор на торгах по ремонту и строительству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17:23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настоящий момент рассматривается вопрос о привлечении компаний к административной ответственности и направлении материалов дела в правоохранительные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признал ООО «Дорожник» и ООО «Твердыня» нарушившими п. 2 ч. 1 ст. 11 Закона о защите конкуренции. Компании заключили антиконкурентное соглашение, которое привело к поддержанию цен на 14 аукционах на выполнение работ по ремонту и строительству дорог на территории Семилукского муниципального района Воронежской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стоимость контрактов, заключенных в результате реализации соглашения, составила более 87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«Дорожник» и ООО «Твердыня» выданы предписания о недопущении действий, результатом которых может являться ограничение конкуренции. В настоящий момент Воронежским УФАС России рассматривается вопрос о привлечении хозяйствующих субъектов к административной ответственности и направлении материалов дела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«Декартелизация сферы дорожного строительства – одна из приоритетных задач ФАС России в рамках реализации Национального плана развития конкуренции в Российской Федерации. Дело Воронежского УФАС России – один из примеров работы в этом направлении», -</w:t>
      </w:r>
      <w:r>
        <w:t xml:space="preserve">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