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Верховный суд признал правомерность штрафа «Мособлгазу»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подтвердил законность постановления Московского УФАС России о привлечении «Мособлгаза» к административному штрафу.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ведомство оштрафовало организацию за нарушение правил подключения к газовой сети. Управление установило, что в течение трех лет «Мособлгаз» навязывал заявителю невыгодные условия договора подключения его земельного участка к газовым сетям.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нарушение законодательства организация возлагала на заявителя мероприятия по развитию сети газораспределения для иных потенциальных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данном случае монополист возлагал на обычное физическое лицо осуществление ненужных для него и не предусмотренных программой газификации региона мероприятий по развитию газораспределительной инфраструктуры»</w:t>
      </w:r>
      <w:r>
        <w:t xml:space="preserve">, — отметил заместитель руководителя Московского УФАС России Никита Полещук.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«Мособлгаз» не согласился с назначенным административным наказанием и обратился в суды. Однако вплоть до Верховного суда Российской Федерации выводы регулятора были поддержаны.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«Наличие положительной судебной практики позволит исключить подобные попытки монополистов возложить избыточные мероприятия на заявителей, что положительно отразится на сроках и стоимости технологического присоединения»,</w:t>
      </w:r>
      <w:r>
        <w:t xml:space="preserve"> — заключил руководитель Московского УФАС России Армен Ханян.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