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выявило «холодное» отношение «РЖД» и «ФПК» к вагонам контрагентов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2018,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возбудило дело по признакам нарушения антимонопольного законодательства в отношении «РЖД» и «ФПК»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сведения о систематическом уклонении монополистов от исполнения обязательств по экипировке вагонов контрагентов твердым топливом в пути следования в целях обогрева.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законодательству экипировка вагонов уже включена в тариф на услугу перевозки грузобагажа в составе поездов дальнего следования. Таким образом, Московское УФАС России рассмотрит не только случаи уклонения монополистов от установленной обязанности, но и обоснованность расчетов за услуги по перевозке.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«Неоказанная услуга «РЖД» и «ФПК» может не просто ущемлять экономические интересы контрагентов, но еще и создавать опасность для жизни и здоровья их сотрудников, сопровождающих грузовые отправления в пути следования», </w:t>
      </w:r>
      <w:r>
        <w:t xml:space="preserve">– отметил руководитель Московского УФАС России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управление привлекло к делу в качестве заинтересованного лица «Почту России». Интересы компании также могли были ущемлены бездействием монополистов.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