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Должностным лицам АО «Корпорация «Атомстройкомплекс» и ООО «Корпорация «Маяк» выданы предостережения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2019, 16:33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Свердловское УФАС России выявило в публичных заявлениях представителей компаний признаки нарушения 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АО «Корпорация «Атомстройкомплекс» в материале «Застройщик не волшебник, он должен где-то брать деньги», опубликованном на портале E1.RU – https://www.e1.ru/news/, сообщил о планируемом поведении на товарном рынке, а именно: о том, что «объективно рыночные цены вырастут».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Должностное лицо ООО «Корпорация «Маяк» в материале «В новых условиях выживут сильнейшие»: как изменятся правила игры на рынке новостроек Екатеринбурга», опубликованном также на городском портале E1.RU, сообщил о планируемом поведении на товарном рынке, а именно: о том, что «в начале 2019 году цены на первичное жилье устремятся вверх».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ст. 25.7 Закона о защите конкуренции Свердловское УФАС России выдало предостережения должностным лицам компаний от совершения планируемых действий (бездействия), в связи с тем, что такое поведение может привести к нарушению ст. 11.1 135-ФЗ, предусматривающей запрет на согласованные действия хозяйствующих субъектов, ограничивающие конкуренцию.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