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Декартелизация фармрынка продолжается: выявлен новый сговор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2019, 14:38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приняла решение о наличии картеля ЗАО «Фирма Евросервис» и ООО «Мега Фарма»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участники закупок на поставку лекарственных препаратов, медицинских материалов, инструментов и оборудования признаны виновными в поддержании цен при участии в 331 открытом аукционе в электронной форме.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Заказчиками по рассматриваемым аукционам выступили организации государственной системы здравоохранения более чем из половины субъектов Российской Федерации.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оценке ФАС России, общий доход, извлеченный компаниями в результате участия в картеле, составил свыше 800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одной из важнейших задач деятельности ФАС России является контроль за реализацией национальных проектов, представленных по важнейшим направлениям социально-экономического развития, в том числе здравоохранению. Как показывает практика, это одна из тех сфер экономики, которые наиболее подвержены картелизации. В связи с этим, антимонопольное ведомство проводит большую работу, чтобы средства, выделяемые для целей здравоохранения и перераспределяемые через систему государственного заказа, расходовались максимально эффективно»</w:t>
      </w:r>
      <w:r>
        <w:t xml:space="preserve">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