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контроль «по плану» уже неэффективен, ему на смену пришли многомерные модели оценки рисков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2019, 16:52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Новые тренды: многомерность контроля, обусловленная не только экономическими факторами, работа в «горячих точках» - разграничение субъектов регулирования по значимости и рискам, переход бизнеса с внешнего контроля на самостоятельный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и о смене вектора контроля статс-секретарь – заместитель руководителя ФАС России Андрей Цариковский рассказал на VII Национальной практической конференции «Внутренний контроль и аудит в России».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– орган внешнего контроля, но говоря о внутреннем аудите, стоит напомнить, что ФАС России стала первым органом власти в стране, внедрившим в 2012 году стандарт качества ИСО 9001»,</w:t>
      </w:r>
      <w:r>
        <w:t xml:space="preserve"> - отметил Андрей Цариковский, рассказывая о системе менеджмента качества и внутреннего контроля в ведомстве.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напомнил, что у Федеральной антимонопольной службы действуют 84 территориальных органа, и подчеркнул, что одной из важнейших задач на сегодняшний день является достижение единообразия практики во всей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последние годы старательно ведём курс по превращению ФАС в орган предупредительного контроля,</w:t>
      </w:r>
      <w:r>
        <w:t xml:space="preserve"> - отметил замглавы ведомства. – </w:t>
      </w:r>
      <w:r>
        <w:rPr>
          <w:i/>
        </w:rPr>
        <w:t xml:space="preserve">И уже видим снижение числа дел по нарушениям антимонопольного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подчеркнул значимость внедренного ФАС риск-ориентированного подхода, который предполагает разделение хозсубъектов по категориям риска и диверсификацию частоты проверочных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 Андрей Цариковский отметил «вектор социальной значимости» - тенденцию по оценке предприятия, исходя из наличия социальных рисков.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«Иногда хлебозавод в маленьком городке критичнее большого промышленного завода в условном Екатеринбурге»</w:t>
      </w:r>
      <w:r>
        <w:t xml:space="preserve">, - сказал он и рекомендовал бизнесу внимательно оценивать социальные риски.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одним новым вектором контроля заместитель руководителя службы назвал самостоятельное предупреждение нарушений компаниями: </w:t>
      </w:r>
      <w:r>
        <w:rPr>
          <w:i/>
        </w:rPr>
        <w:t xml:space="preserve">«Мы предпочитаем, чтоб вы сделали часть работы за нас: предупредили возможные нарушения и риски сами»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внедрение антимонопольного комплаенса позволит снизить риск нарушения законодательства и разграничить ответственность сотрудника и компании в случае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[photo_1174]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