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«дорожная карта» по развитию конкуренции Московской области актуализирована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14:51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доработан совместно с Правительством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Правового управления ФАС России сообщил 25 февраля в ходе совместных публичных обсуждений результатов правоприменительной практики ФАС России и Московского областного УФАС России за 1 квартал 2019 года, проведенных в рамках реформы контрольно-надзорной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«Публичные обсуждения правоприменительной практики – это наша площадка для рассмотрения наиболее острых и актуальных дел и задач, которые стоят перед ведомством», </w:t>
      </w:r>
      <w:r>
        <w:t xml:space="preserve">– сказал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назвал Национальный план развития конкуренции, утвержденный в декабре 2017 года Указом Президента РФ, началом новой государственной конкурентной политики, которая построена на развитии рыночных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напомнил участникам мероприятия некоторые цели, предусмотренные Указом Президента РФ: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снижение количества нарушений антимонопольного законодательства с органами власти не менее чем в два раза;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увеличение доли субъектов малого предпринимательства и социально-ориентированных организаций в закупках, осуществляемых для государственных и муниципальных нужд;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обеспечение в каждой сфере экономики наличия не менее 3 организаций, при этом как минимум одна из них должна быть частной формы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[photo_1198]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реализация этих задач включает в себя несколько этапов: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подготовка нормативной базы;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мероприятия на федеральном уровне;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конкуренции в регионах;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участие институтов гражданского общества в реализации этих целей. Как подчеркнул Артем Молчанов, их достижение возможно только совместными усилиями ФАС России, федеральных, региональных и муниципальных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сообщил о законодательных инициативах, над которыми работает ведомство: законопроекты о запрете создания ГУПов и МУПов на конкурентных рынках, об ограничении роста доли госучастия в капитале хозсубъектов, о тарифном регулировании и о естественных монополиях.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Обращаясь к представителям органов власти и предпринимательства, начальник Правового управления ФАС России особо отметил, что ведомство и его территориальные органы готовы оказывать любую методическую и консультативную помощь по вопросам внедрения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Государственного совета по развитию конкуренции и в соответствии с поручениями Президента РФ мы провели работу с Правительством Московской области по актуализации «дорожной карты» развития конкуренции Московской области. И оцениваем ее очень позитивно»,</w:t>
      </w:r>
      <w:r>
        <w:t xml:space="preserve"> – сказал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служба занимается также актуализацией Стандарта развития конкуренции в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