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Между Сциллой и Харибдой. Как соблюсти баланс между регулированием фармрынка и развитием конкуренции?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18:03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особенностях госрегулирования рынка лекарств и опыте Российской Федерации в этой сфере рассказал статс-секретарь — заместитель руководителя ФАС России Андрей Цариковский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2019 года в г.Минск (Республика Беларусь) состоялся круглый стол «Общий рынок лекарственных средств. Референтное   ценообразование». Цель мероприятия – обмен опытом и практиками регулирования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напомнил участникам мероприятия, что накануне, 27 февраля 2019 года, в г.Москве было подписано Соглашение о сотрудничестве в области защиты конкуренции между Правительством Российской Федерации и Правительством Республики Беларусь.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межправительственный договор и его соблюдение обязательно для всех участников рынка. Соглашение предполагает, в том числе, проведение совместных расследований, особенно при расследовании таких опасных экономических преступлений как картели, в результате которых устанавливаются и удерживаются высокие цены на товары»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опыте России в области регулирования фармацевтического рынка, замглавы ФАС России подчеркнул, что этот рынок крайне чувствителен для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«Сложность регулирования рынка лекарственных средств в необходимости добиться сложного сочетания: нужно, чтобы все лекарства были качественные, прошли все клинические испытания и продавались по обоснованным ценам, но при этом на рынке должна быть конкуренция. Это зачастую противоположные задачи</w:t>
      </w:r>
      <w:r>
        <w:t xml:space="preserve">, - рассказал Андрей Цариковский. - </w:t>
      </w:r>
      <w:r>
        <w:rPr>
          <w:i/>
        </w:rPr>
        <w:t xml:space="preserve">Мы продвинулись в этом направлении: ФАС ввела принцип референтного ценообразования, когда мы сравниваем российские цены с ценами на лекарства в других странах</w:t>
      </w:r>
      <w:r>
        <w:rPr>
          <w:i/>
        </w:rPr>
        <w:t xml:space="preserve">»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удалось упростить и сделать понятным такое ценообразование, что в свою очередь развивает конкуренцию на рынке при условии сохранения объема поставляемых лекарственных средств»</w:t>
      </w:r>
      <w:r>
        <w:t xml:space="preserve">,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