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Олеся Мильчакова: Регламентация исполнения функций по рассмотрению ходатайств обеспечит гарантии прав иностранных инвесторов и повысит эффективность деятельности госорганов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 марта 2019, 13:50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Минюст России зарегистрировал Административный регламент ФАС России по рассмотрению ходатайств иностранных инвесторов в отношении российских стратегических обществ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Регламент</w:t>
      </w:r>
    </w:p>
    <w:r xmlns:w="http://schemas.openxmlformats.org/wordprocessingml/2006/main">
      <w:t xml:space="preserve">1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 определяет сроки и последовательность действий антимонопольного ведомства при рассмотрении ходатайств иностранных инвесторов в целях вынесения вопроса об одобрении заявленных в них сделок на заседание Правительственной комиссии по контролю за осуществлением иностранных инвестиций в Российской Федерации.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Документ приведен в полное соответствие с действующей редакцией нормативных правовых актов более высокого уровня – Закона об иностранных инвестициях</w:t>
      </w:r>
    </w:p>
    <w:r xmlns:w="http://schemas.openxmlformats.org/wordprocessingml/2006/main">
      <w:t xml:space="preserve">2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 и постановлений Правительства Российской Федерации</w:t>
      </w:r>
    </w:p>
    <w:r xmlns:w="http://schemas.openxmlformats.org/wordprocessingml/2006/main">
      <w:t xml:space="preserve">3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Регламент четко определяет права и обязанности иностранных инвесторов по представлению сведений и документов в составе ходатайства о согласовании сделки. Документ детализирует порядок действий должностных лиц антимонопольного органа при поступлении ходатайств иностранных инвесторов и устанавливает предельные сроки сбора информации и подготовки документов, необходимых для вынесения сделки на рассмотрение Правкомиссии.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Государственную услугу ФАС России предоставляет без взимания госпошлины или иной платы. Результат ее предоставления – решение антимонопольного органа по ходатайству заявителя, оформленное на основании протокола заседания Правительственной комиссии.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«Несмотря на вводимые в отношении России торговые ограничения и санкции интерес иностранных инвесторов в отношении российских обществ сохраняется. В 2018 году Правительственная комиссия одобрила 19 сделок иностранных инвесторов, величина суммарных инвестиций в стратегические активы по этим сделкам</w:t>
      </w:r>
      <w:r>
        <w:rPr>
          <w:i/>
        </w:rPr>
        <w:t xml:space="preserve">4</w:t>
      </w:r>
      <w:r>
        <w:rPr>
          <w:i/>
        </w:rPr>
        <w:t xml:space="preserve"> составила 631 млрд рублей, что на 40 процентов превышает показатели 2017 года. Регламентация исполнения антимонопольным органом функций по рассмотрению ходатайств позволяет обеспечить гарантии прав иностранных инвесторов-заявителей по сделкам и повысить качество и эффективность деятельности органов власти»,</w:t>
      </w:r>
      <w:r>
        <w:t xml:space="preserve"> - прокомментировала начальник Управления контроля иностранных инвестиций ФАС России Олеся Мильчакова.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 документом можно ознакомиться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здесь
        </w:t>
        </w:r>
      </w:hyperlink>
      <w:r>
        <w:t xml:space="preserve">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r xmlns:w="http://schemas.openxmlformats.org/wordprocessingml/2006/main">
      <w:t xml:space="preserve">1 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Регламент по предоставлению государственной услуги по рассмотрению ходатайств о предварительном согласовании сделок и (или) установлении контроля иностранного инвестора или группы лиц над хозяйственными обществами, имеющими стратегическое значение для обеспечения обороны страны и безопасности государства. Утвержден Приказом ФАС России от 28.01.2019 № 87/19 "Об утверждении административного регламента Федеральной антимонопольной службы по предоставлению государственной услуги по рассмотрению ходатайств о предварительном согласовании сделок и (или) установлении контроля иностранного инвестора или группы лиц над хозяйственными обществами, имеющими стратегическое значение для обеспечения обороны страны и безопасности государства" (Зарегистрирован 25.02.2019 № 53891).</w:t>
      </w:r>
    </w:p>
    <w:r xmlns:w="http://schemas.openxmlformats.org/wordprocessingml/2006/main">
      <w:t xml:space="preserve">2 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Федеральный закон от 29 апреля 2008 г. № 57-ФЗ "О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государства"</w:t>
      </w:r>
    </w:p>
    <w:r xmlns:w="http://schemas.openxmlformats.org/wordprocessingml/2006/main">
      <w:t xml:space="preserve">3 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Постановления Правительства РФ от 17.10.2009 № 838, от 01.12.2018 №№ 1456, 1457, 1458</w:t>
      </w:r>
    </w:p>
    <w:r xmlns:w="http://schemas.openxmlformats.org/wordprocessingml/2006/main">
      <w:t xml:space="preserve">4 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Стоимость приобретаемых акций и объем вложений в развитие производства в соответствии с бизнес-планом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publication.pravo.gov.ru/Document/View/0001201902270014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