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«Бизнес компьютерс групп» не смогло обжаловать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2019, 14:26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Участнику антиконкурентного соглашения необходимо выплатить 31 528 400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оставил решение Арбитражного суда города Москвы без изменений, а апелляционную жалобу без удовлетворения, тем самым подтвердив законность и обоснованность вынесенного ФАС России штрафа в отношении ООО «Бизнес компьютерс групп».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ООО «Ами-нетворк», ООО «Производственная компания Аквариус», ООО «Национальная компьютерная корпорация» и ООО «Бизнес компьютерс групп» признаны виновными в заключении антиконкурентного соглашения, которое привело к поддержанию цены на открытом аукционе в электронной форме на поставку системных блоков ГАС «Выборы» для нужд подведомственной организации Центральной избирательной комиссии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«Целью назначения штрафа нарушителю является не только его наказание, но и превенция последующих противоправных действий. Мы довольны решением суда и надеемся, что заплатив вполне чувствительный штраф, компания в дальнейшем не будет нарушать ни антимонопольное, ни иное законодательство»,</w:t>
      </w:r>
      <w:r>
        <w:t xml:space="preserve">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