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предлагает применять эталоны при установлении тарифов для транзитных организаций с протяженностью сетей менее 10 км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марта 2019, 11:30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Антимонопольная служба отмечает, что это снизит себестоимость поставляемого ресурса и, как следствие, тариф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ситуация в сфере водоснабжения и водоотведения характеризуется наличием большого количества организаций, владеющих небольшими участками водопроводных или канализационных сетей (менее 10 км), которые оказывают услуги по транспортировке воды или стоков по высоким тарифам, что приводит к росту платежей для потребителей за коммунальные услуги. Такая ситуация вызвана высокой себестоимостью, а также небольшими объемами оказываемых услуг по транспортировке ресурсов по сравнению с крупными поставщиками.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заявил заместитель начальника Управления регулирования в сфере ЖКХ ФАС России Александр Федяков на практическом семинаре «Тарифное регулирование в условиях цифровой трансформации».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2017 году на территории Омской области для организации АО «Омский аэропорт», протяженность сети которого составляет 7,1 км, был установлен тариф на транспортировку холодной воды в размере 67,69 руб/куб.м, в то время как тариф для АО «Омскводоканал» г. Омска был установлен в размере 15,29 руб/куб.м.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Региональный орган регулирования при установлении тарифа для АО «Омский аэропорт» на 2018 год применил метод сравнения аналогов («эталонный принцип»). В результате такого решения произошло снижение тарифа практически в 2 раза, размер тарифа составил 36,4 руб/куб.м.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на сессии в  рамках семинара по тарифам в Сочи  представила проект постановления, который вносит изменения в Основы ценообразования в сферах тепло-, водоснабжения, водоотведения, а также твердых коммунальных отходах.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предусматривает обязательный порядок применения эталона при установлении тарифов применять для транзитных организаций с протяженностью сетей менее 10 км.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установлении тарифов методом сравнения аналогов предлагается брать за основу текущие расходы самого крупного поставщика, которые появляются при технологическом процессе транспортировки ресурса, чтобы себестоимость перемещаемого ресурса не приводила к удорожанию тарифа.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разработанных изменениях уточняется срок подачи материалов к тарифной заявке. Компания может представить в орган регулирования дополнительные материалы в течение 10 календарных дней до даты заседания правления органа власти. Стоит обратить внимание, что согласно поправкам в целях экономии бюджетных средств региональными тарифными органами тарифные решения и протоколы они могут направлять в электронном виде и без бумажного носителя.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