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предупреждения двум департаментам Правительства города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Департамента образования и науки (ДО), а также Департамента информационных технологий (ДИТ) содержали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хозяйствующего субъекта с жалобой на издание Департаментом образования приказа, который устанавливает использование информационных ресурсов «Московской электронной школы» (МЭШ) в качестве одного из обязательных условий получения субсидий для частных образовательных организаций города Москвы (ЧОО).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Департамент информационных технологий уклонялся от подключения используемых ЧОО сторонних автоматизированных электронных систем учёта успеваемости (электронных дневников, журналов) с информационными ресурсами МЭШ.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ДО г. Москвы и ДИТ г. Москвы содержат признаки нарушения закона о защите конкуренции* и могут привести к необоснованному ограничению круга хозяйствующих субъектов на рынке автоматизированных электронных систем учета успеваемости и электронных дневников на территории города Москвы и помешать беспрепятственному осуществлению деятельности хозяйствующими субъектами на этом товарном рынке, а также к установлению для частных образовательных организаций города ограничений выбора хозяйствующих субъектов, предоставляющих автоматизированные электронные системы учета успеваемости и электронные дневники.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Предупреждения направлены на изменение ситуации с понуждением ЧОО г. Москвы к переходу на информационные ресурсы МЭШ и отказом от работы с хозяйствующими субъектами, предоставляющими сторонние информационные системы (программные продукты), не связанные с МЭШ, что впоследствии может привести к ограничению конкуренции на территории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</w:t>
      </w:r>
      <w:r>
        <w:rPr>
          <w:i/>
        </w:rPr>
        <w:t xml:space="preserve"> 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Согласно статье 39.1 Закона о защите конкуренции предупреждение о прекращении действий (бездействия), которые содержат признаки нарушения антимонопольного законодательства, выдается антимонопольным органом в случае выявления признаков нарушения, в том числе, пункта 2 части 1 статьи 15 Закона о защите конкуренции и пункта 5 части 1 статьи 15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