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Цариковский: мы строили «здание» закупок, потом срочно ставили подпорки, а сейчас уже нужно наводить там порядок и уют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марта 2019, 16:38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 описал статс-секретарь – заместитель руководителя ФАС России завершившуюся пору перемен и правок в законодательстве о закупках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«За десятилетия работы принято множество поправок в законодательство о закупках. Сейчас пора перемен уже прошла. Нам нужно нарабатывать нормальную практику»,</w:t>
      </w:r>
      <w:r>
        <w:t xml:space="preserve"> - рассказал Андрей Цариковский об истории изменений в закупочном законодательстве в ходе открытия конференции Корпоративные закупки-2019: практика применения Федерального закона №223-ФЗ.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также подчеркнул, что организатор конференции - Институт госзакупок – планомерно и успешно занимается методической и научной работой по правоприменению и отметил, что ФАС России использует результаты этой работы в своей деятельности.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«Цифровая революция повсеместно задает тенденции для кардинального изменения законодательства, однако закупочное законодательство менять не надо: туда изначально были заложены современные информационные технологии»</w:t>
      </w:r>
      <w:r>
        <w:t xml:space="preserve">, - заявил замглавы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он отметил, что задачи по развитию конкуренции в сфере закупок попали в Национальный план развития конкуренции. Так, среди них необходимость обеспечить реализацию мероприятий, направленных на недискриминационный доступ поставщиков к закупкам, сокращение количества закупок у единственного поставщика и увеличение объема закупок у субъектов малого и среднего бизнеса к 2020 году.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Цариковский рассказал о примерах выявленных антимонопольной службой нарушений в сфере размещения заказов у субъектов МСП: </w:t>
      </w:r>
      <w:r>
        <w:rPr>
          <w:i/>
        </w:rPr>
        <w:t xml:space="preserve">«Зафиксированы случаи, когда крупные хозсубъекты уклоняются от действия норм закона и дробят заказы для множества мелких аффилированных с собой структур».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будем рассматривать такие действия как картель»</w:t>
      </w:r>
      <w:r>
        <w:t xml:space="preserve">, - добавил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заключение он подчеркнул, что доля закупок в ВВП страны очень велика и составляет не меньше его трети, что является причиной огромного значения этой сферы для экономики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[photo_1190]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