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Телеканалу RU TV предписано прекратить превышение допустимой громкости анонсов 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2019, 13:50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некоторых фрагментах эфира разница громкости звука между рекламными и межрекламными блоками составляла до 2,9 дБ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«М 1» нарушило требования Закона о рекламе[1] к громкости звука рекламы, анонсов, логотипа, сообщений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вину общества на основании записи эфирного цифрового вещания телеканала «RU TV», сделанного специалистами ведомства 28 августа 2018 года[2].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Изучение записи показало превышение громкости звука в блоках с сообщениями о рекламе и анонсе по отношению к громкости звука межрекламных фрагментов в ряде случаев от 1,7 дБ до 2,9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«М 1» как рекламораспространителю предписано устранить нарушения Закона. Материалы дела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установленные частью 12 статьи 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период с 10 часов 05 минут по 11 часов 35 минут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