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ГОСТ ставит под угрозу существование наружной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телевизионная и Интернет-реклама не смогут компенсировать представителям малого и среднего бизнеса отсутствие наружной рекламы как по стоимости, так и по количеству локальных контактов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Андрей Кашеваров сообщил 29 марта в ходе круглого стола «Наружная реклама – инструмент коммуникации и конкуренции», который состоялся в рамках Красноярского экономического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обсуждения стал утвержденный Приказом Росстандарта ГОСТ[1]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 По мнению ФАС России, документ требует доработки в отношении ссылок на рекламные конструкции, которые должны регулироваться и уже регулируются ГОСТ о наружной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соответствии с планируемыми нововведениями, не допускаются любые рекламные конструкции на проезжей части дорог и улиц, тротуарах, пешеходных и велосипедных дорожка, остановках, разделительных полосах и обочинах.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прекрасно знаем, какими усилиями и затратами со стороны регуляторов и бизнеса рынок был приведен в тот вид, в котором он сейчас находится – упорядоченный, </w:t>
      </w:r>
      <w:r>
        <w:t xml:space="preserve">– напомнил Андрей Кашеваров. </w:t>
      </w:r>
      <w:r>
        <w:rPr>
          <w:i/>
        </w:rPr>
        <w:t xml:space="preserve">– Обсуждаемые ГОСТы очень противоречивы, и вопрос встает даже не об устранении этих противоречий, а о сохранении целой отрасли, которую документ в его нынешнем виде попросту стирает».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отметил, что существенная часть бюджета городов с численностью населения меньше 1 млн наполняется благодаря рынку наружной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настоящий момент рынок имеет вполне четкие очертания. Создан уникальный механизм расчета «коридоров безопасности» при размещении рекламных конструкций вблизи автомобильных дорог, который абсолютно понятен и администрируем. Планируемые же изменения просто нивелируют все эти достижения»,</w:t>
      </w:r>
      <w:r>
        <w:t xml:space="preserve"> – подчеркнул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Р 50597-2017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