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ФАС предлагает «обнулить» комиссии при снятии наличных в банкоматах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2019, 18:51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Помимо прочего, это даст возможность работодателям свободно выбирать банк для «зарплатных проектов», поскольку распространённость банкоматной сети является одним из решающих факторов в этом вопросе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изменения ни в коем случае не остановят и не замедлят рост безналичных платежей, поскольку доступность наличности в банкоматах снизит потребность в единовременном снятии больших сумм.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сообщил сегодня, 2 апреля 2019 года, в ходе выступления на заседании Межрегионального банковского совета при Совете Федерации Федерального Собрания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«Потребитель не должен задумываться о комиссии между двумя конкретными банками, стоя у банкомата и снимая наличные, – </w:t>
      </w:r>
      <w:r>
        <w:t xml:space="preserve">сказал Андрей Кашеваров</w:t>
      </w:r>
      <w:r>
        <w:rPr>
          <w:i/>
        </w:rPr>
        <w:t xml:space="preserve">. – А чтобы не произошло сокращения банкоматной сети, мы предлагаем погрузить интерчейндж (межбанковские комиссии) в отношения между самими банками. В этом случае банки сами будут принимать решения о том, ретранслировать ли сумму интерчейнджа на карты держателей или нет, определяя для себя дополнительное конкурентное преимущество».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коснулся вопроса «зарплатного рабства» и напомнил, что «дорожная карта» по развитию конкуренции</w:t>
      </w:r>
    </w:p>
    <w:r xmlns:w="http://schemas.openxmlformats.org/wordprocessingml/2006/main">
      <w:t xml:space="preserve">12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предполагает усиление административной ответственности за ограничение работников в праве выбора кредитной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«Деньги должны идти за гражданином, и он вправе выбирать, в какой банк ему их переводить. И никто не может чинить гражданам препятствий в реализации этого права», </w:t>
      </w:r>
      <w:r>
        <w:t xml:space="preserve">– подчеркнул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ФАС России проводит опрос работодателей о критериях выбора «зарплатного проекта», итоги которого будут обсуждаться на заседании межведомственной Рабочей группы по развитию конкуренции на рынке финансовых услуг. С учётом результатов обсуждения служба выработает соответствующее решение.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[photo_1209]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доклада заместитель руководителя ФАС России также затронул тему эквайринга: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«Большинство точек зрения сводится к тому, что введение фиксированных цен по эквайрингу может остановить рост безналичных платежей. 26 марта мы направили в Правительство РФ доклад по этому вопросу с предложением двух дополнительных мер: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ввести прозрачное информирование со стороны банков по всем ставкам, которые заключены по договорам эквайринга с торгово-сервисными предприятиями;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постоянной основе продолжить диалог между банками и ритейлерами»,</w:t>
      </w:r>
      <w:r>
        <w:t xml:space="preserve"> – сказал замглавы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Освещая тему территориальной дискриминации в банковских переводах, он сообщил об инициативе службы приравнять комиссии за межрегиональные переводы к внутрирегиональным между счетами физических лиц, которые открыты в одной кредитной организации, сравнив этот принцип с роумингом мобильных операторов.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решения проблемы реализации пенсионерами права выбора банка для перечисления пенсии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ФАС России предлагает обязать территориальные органы ПФР переводить денежные средства в любой выбранный пенсионером банк без взимания комиссий вне зависимости от наличия договора о взаимодействии. При этом банк в случае выбора его пенсионером должен будет предоставлять необходимую ТО ПФР информацию, исключив необходимость заключения договоров о взаимодействии.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банк должен заключить соглашение с Пенсионным фондом и на это время – до трех месяцев – приостанавливается перечисление пенсии в выбранный банк, и это недопустимо», </w:t>
      </w:r>
      <w:r>
        <w:t xml:space="preserve">– подчеркнул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[video_1984]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 13 раздела 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утвержденная распоряжением Правительства РФ от 16.08.2018 № 1697-р
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9 раздела XIV Дорожной карты ФАС России провела анализ порядка выплаты пенсий соответствующим категориям граждан. Результаты этого анализа показали: Доставка страховой пенсии должна производиться по желанию пенсионера, в том числе через кредитную организацию путем зачисления сумм на счет пенсионера. Возможность свободного выбора пенсионером банка поставлена в зависимость от наличия заключенного банком договора о взаимодействии с ТО Пенсионного фонда России (ТО ПФР). Отсутствие договора влечет приостановку рассмотрения заявления пенсионера о доставке пенсии до 3-х месяцев, что определяет выбор пенсионера в пользу тех банков, с которыми уже заключены договоры ТО ПФР.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