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мы воспринимаем оценку технологий здравоохранения, как одну из форм конкурентного взаимодействия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апреля 2019, 11:14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Москве состоялся Франко-российский Круглый стол «Партнёрство во имя здоровья. Улучшая решения и обеспечение в здравоохранении». Мероприятие было посвящено оценке технологий здравоохранения, развитию электронного здравоохранения, а также доступу к инновациям.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воспринимаем оценку технологий в здравоохранении, прежде всего, как одну из форм конкурентного взаимодействия между фармацевтическими компаниями,</w:t>
      </w:r>
      <w:r>
        <w:t xml:space="preserve"> - начал своё выступление Тимофей Нижегородцев, начальник Управления контроля социальной сферы и торговли ФАС России. - </w:t>
      </w:r>
      <w:r>
        <w:rPr>
          <w:i/>
        </w:rPr>
        <w:t xml:space="preserve">Поэтому мы считаем крайне важным участие органов, отвечающих за конкуренцию, во всех процессах, связанных с оценкой технологий, чтобы предотвратить дискриминацию отдельных компаний на рынке».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он обозначил основные требования ФАС России к механизмам оценки технологий здравоохранения: объективный подход к фиксированию терапевтических эффектов, возможность определения ценности терапевтических эффектов для системы здравоохранения, а также новые подходы к определению эквивалентности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взаимозаменяемости, Т. Нижегородцев отметил архаичность тех подходов к определению взаимозаменяемости и эквивалентности лекарственных препаратов, которые на сегодняшний день существуют в России:</w:t>
      </w:r>
      <w:r>
        <w:rPr>
          <w:i/>
        </w:rPr>
        <w:t xml:space="preserve"> «Мы обычно замыкаемся в рамках одного международного непатентованного наименования (МНН) и даже не допускаем мысли, что два препарата с различными активными веществами могут быть эквивалентны в той или иной клинической практике».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он привёл решение Конкурентного ведомства Италии (ICA) в отношении компаний Рош и Новартис. Фармпроизводители вступили в сговор, чтобы сохранить объём продаж более дорогого препарата «Луцентис» и скрывали терапевтическую эквивалентность «Авастина» по отношению к нему, который стоил в в разы дешевле.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спикер, тема эквивалентности лекарственных препаратов с разными МНН сейчас особенно актуальна с учётом возрастающей роли использования в клинической практике биологических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таких препаратов разные белки могут действовать схоже и иметь одинаковый терапевтический эффект, но при этом препараты могут стоить существенно меньше»,</w:t>
      </w:r>
      <w:r>
        <w:t xml:space="preserve"> - констатировал начальник Управления контроля социальной сферы и торговли ФАС России Тимофей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осталась без внимания тема регулирования цен на лекарственные средства. Надежда Шаравская, заместитель начальника Управления контроля социальной сферы и торговли, рассказала, что </w:t>
      </w:r>
      <w:r>
        <w:rPr>
          <w:i/>
        </w:rPr>
        <w:t xml:space="preserve">«в России регистрация цен на препараты осуществляется на основе двух механизмов: во-первых, цены производителей регистрируются не выше цен на препараты в референтных странах, а, во-вторых, при включении препаратов в государственные программы лекарственного обеспечения населения производители могут ещё больше снижать цену, что будет влиять на клинико-экономическую оценку препарата».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новой методике регистрации цен рассказала Дарья Старых, начальник отдела регулирования цен на лекарственные препараты Управления контроля социальной сферы и торговли. Напомним, что с осени 2018 года в России действует индикативный метод регистрации цен, который сейчас эффективно используется многими странами.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был поднят вопрос возможности внедрения системы «риск-шеринга» в российскую систему здравоохранения.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Такие проекты возможны в России и этот вопрос обсуждается,</w:t>
      </w:r>
      <w:r>
        <w:t xml:space="preserve"> - сказала Надежда Шаравская. – </w:t>
      </w:r>
      <w:r>
        <w:rPr>
          <w:i/>
        </w:rPr>
        <w:t xml:space="preserve">Однако ключевой вопрос заключается в том, как они будут реализовываться и по каким именно препаратам».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рассказала о необходимых критериях к таким препаратам, а также добавила, что </w:t>
      </w:r>
      <w:r>
        <w:rPr>
          <w:i/>
        </w:rPr>
        <w:t xml:space="preserve">«отсутствие инфраструктуры и прозрачных механизмов оценки эффективности не позволяют использовать сегодня систему «риск-шеринга»».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